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before="1800"/>
        <w:jc w:val="center"/>
      </w:pPr>
      <w:r>
        <w:rPr>
          <w:rFonts w:ascii="Calibri" w:cs="Calibri" w:eastAsia="Calibri" w:hAnsi="Calibri"/>
          <w:b/>
          <w:bCs/>
          <w:color w:val="4A4A4A"/>
          <w:sz w:val="28"/>
          <w:szCs w:val="28"/>
        </w:rPr>
        <w:t xml:space="preserve">BRITECITY</w:t>
      </w:r>
    </w:p>
    <w:p>
      <w:pPr>
        <w:spacing w:after="200"/>
        <w:jc w:val="center"/>
      </w:pPr>
      <w:r>
        <w:rPr>
          <w:rFonts w:ascii="Calibri" w:cs="Calibri" w:eastAsia="Calibri" w:hAnsi="Calibri"/>
          <w:b/>
          <w:bCs/>
          <w:color w:val="060203"/>
          <w:sz w:val="72"/>
          <w:szCs w:val="72"/>
        </w:rPr>
        <w:t xml:space="preserve">CMMC </w:t>
      </w:r>
      <w:r>
        <w:rPr>
          <w:rFonts w:ascii="Calibri" w:cs="Calibri" w:eastAsia="Calibri" w:hAnsi="Calibri"/>
          <w:b/>
          <w:bCs/>
          <w:color w:val="FF5B14"/>
          <w:sz w:val="72"/>
          <w:szCs w:val="72"/>
        </w:rPr>
        <w:t xml:space="preserve">Walkthrough</w:t>
      </w:r>
    </w:p>
    <w:p>
      <w:pPr>
        <w:spacing w:after="600"/>
        <w:jc w:val="center"/>
      </w:pPr>
      <w:r>
        <w:rPr>
          <w:rFonts w:ascii="Calibri" w:cs="Calibri" w:eastAsia="Calibri" w:hAnsi="Calibri"/>
          <w:color w:val="4A4A4A"/>
          <w:sz w:val="26"/>
          <w:szCs w:val="26"/>
        </w:rPr>
        <w:t xml:space="preserve">Setting expectations for Level 1, Level 2, and Level 3 engagements</w:t>
      </w:r>
    </w:p>
    <w:p>
      <w:pPr>
        <w:spacing w:after="100"/>
        <w:jc w:val="center"/>
      </w:pPr>
      <w:r>
        <w:rPr>
          <w:rFonts w:ascii="Calibri" w:cs="Calibri" w:eastAsia="Calibri" w:hAnsi="Calibri"/>
          <w:color w:val="060203"/>
          <w:sz w:val="22"/>
          <w:szCs w:val="22"/>
        </w:rPr>
        <w:t xml:space="preserve">Prepared for: </w:t>
      </w:r>
      <w:r>
        <w:rPr>
          <w:rFonts w:ascii="Calibri" w:cs="Calibri" w:eastAsia="Calibri" w:hAnsi="Calibri"/>
          <w:color w:val="060203"/>
          <w:sz w:val="22"/>
          <w:szCs w:val="22"/>
        </w:rPr>
        <w:t xml:space="preserve">_______________________________</w:t>
      </w:r>
    </w:p>
    <w:p>
      <w:pPr>
        <w:spacing w:after="100"/>
        <w:jc w:val="center"/>
      </w:pPr>
      <w:r>
        <w:rPr>
          <w:rFonts w:ascii="Calibri" w:cs="Calibri" w:eastAsia="Calibri" w:hAnsi="Calibri"/>
          <w:color w:val="060203"/>
          <w:sz w:val="22"/>
          <w:szCs w:val="22"/>
        </w:rPr>
        <w:t xml:space="preserve">Date: </w:t>
      </w:r>
      <w:r>
        <w:rPr>
          <w:rFonts w:ascii="Calibri" w:cs="Calibri" w:eastAsia="Calibri" w:hAnsi="Calibri"/>
          <w:color w:val="060203"/>
          <w:sz w:val="22"/>
          <w:szCs w:val="22"/>
        </w:rPr>
        <w:t xml:space="preserve">_______________________________</w:t>
      </w:r>
    </w:p>
    <w:p>
      <w:pPr>
        <w:spacing w:before="1200"/>
        <w:jc w:val="center"/>
      </w:pPr>
      <w:r>
        <w:rPr>
          <w:rFonts w:ascii="Calibri" w:cs="Calibri" w:eastAsia="Calibri" w:hAnsi="Calibri"/>
          <w:b/>
          <w:bCs/>
          <w:color w:val="4A4A4A"/>
          <w:sz w:val="18"/>
          <w:szCs w:val="18"/>
        </w:rPr>
        <w:t xml:space="preserve">Make IT Easy</w:t>
      </w:r>
    </w:p>
    <w:p>
      <w:r>
        <w:br w:type="page"/>
      </w:r>
    </w:p>
    <w:p>
      <w:pPr>
        <w:pStyle w:val="Heading1"/>
        <w:spacing w:after="120" w:before="360"/>
      </w:pPr>
      <w:r>
        <w:rPr>
          <w:rFonts w:ascii="Calibri" w:cs="Calibri" w:eastAsia="Calibri" w:hAnsi="Calibri"/>
          <w:b/>
          <w:bCs/>
          <w:color w:val="FF5B14"/>
          <w:sz w:val="36"/>
          <w:szCs w:val="36"/>
        </w:rPr>
        <w:t xml:space="preserve">Executive Summary</w:t>
      </w:r>
    </w:p>
    <w:p>
      <w:pPr>
        <w:spacing w:after="120"/>
      </w:pPr>
      <w:r>
        <w:rPr>
          <w:rFonts w:ascii="Calibri" w:cs="Calibri" w:eastAsia="Calibri" w:hAnsi="Calibri"/>
          <w:color w:val="060203"/>
          <w:sz w:val="22"/>
          <w:szCs w:val="22"/>
        </w:rPr>
        <w:t xml:space="preserve">This walkthrough is what BRITECITY uses to set expectations with defense contractors who need to achieve CMMC certification. It is not a sales document — it is a working reference that should be on the table when we agree on scope.</w:t>
      </w:r>
    </w:p>
    <w:p>
      <w:pPr>
        <w:spacing w:after="120"/>
      </w:pPr>
      <w:r>
        <w:rPr>
          <w:rFonts w:ascii="Calibri" w:cs="Calibri" w:eastAsia="Calibri" w:hAnsi="Calibri"/>
          <w:color w:val="060203"/>
          <w:sz w:val="22"/>
          <w:szCs w:val="22"/>
        </w:rPr>
        <w:t xml:space="preserve">The Cybersecurity Maturity Model Certification (CMMC) framework defines three levels. BRITECITY delivers Level 1 end-to-end as a billable IT engagement at our standard rate. Level 2 is co-delivered with a 3rd-party CMMC partner who walks both the client and BRITECITY through the formal assessment. Level 3 is reserved for a small subset of high-priority programs and is not currently offered by BRITECITY — we refer those engagements to a specialty defense-cyber firm.</w:t>
      </w:r>
    </w:p>
    <w:p>
      <w:pPr>
        <w:spacing w:after="120"/>
      </w:pPr>
      <w:r>
        <w:rPr>
          <w:rFonts w:ascii="Calibri" w:cs="Calibri" w:eastAsia="Calibri" w:hAnsi="Calibri"/>
          <w:i/>
          <w:iCs/>
          <w:color w:val="060203"/>
          <w:sz w:val="18"/>
          <w:szCs w:val="18"/>
        </w:rPr>
        <w:t xml:space="preserve">No specific dollar figures or daily rates are quoted in this document. All pricing is confirmed in writing during the scoping call.</w:t>
      </w:r>
    </w:p>
    <w:p>
      <w:r>
        <w:br w:type="page"/>
      </w:r>
    </w:p>
    <w:p>
      <w:pPr>
        <w:pStyle w:val="Heading1"/>
        <w:spacing w:after="120" w:before="360"/>
      </w:pPr>
      <w:r>
        <w:rPr>
          <w:rFonts w:ascii="Calibri" w:cs="Calibri" w:eastAsia="Calibri" w:hAnsi="Calibri"/>
          <w:b/>
          <w:bCs/>
          <w:color w:val="FF5B14"/>
          <w:sz w:val="36"/>
          <w:szCs w:val="36"/>
        </w:rPr>
        <w:t xml:space="preserve">1. What is CMMC?</w:t>
      </w:r>
    </w:p>
    <w:p>
      <w:pPr>
        <w:spacing w:after="120"/>
      </w:pPr>
      <w:r>
        <w:rPr>
          <w:rFonts w:ascii="Calibri" w:cs="Calibri" w:eastAsia="Calibri" w:hAnsi="Calibri"/>
          <w:color w:val="060203"/>
          <w:sz w:val="22"/>
          <w:szCs w:val="22"/>
        </w:rPr>
        <w:t xml:space="preserve">CMMC (Cybersecurity Maturity Model Certification) is the Department of Defense framework that requires every contractor and subcontractor handling federal contract information or controlled unclassified information to prove a measured level of cybersecurity. It is codified in 32 CFR Part 170 and enforced through DFARS clauses 252.204-7012, -7019, -7020, and -7021.</w:t>
      </w:r>
    </w:p>
    <w:p>
      <w:pPr>
        <w:pStyle w:val="Heading1"/>
        <w:spacing w:after="120" w:before="360"/>
      </w:pPr>
      <w:r>
        <w:rPr>
          <w:rFonts w:ascii="Calibri" w:cs="Calibri" w:eastAsia="Calibri" w:hAnsi="Calibri"/>
          <w:b/>
          <w:bCs/>
          <w:color w:val="FF5B14"/>
          <w:sz w:val="36"/>
          <w:szCs w:val="36"/>
        </w:rPr>
        <w:t xml:space="preserve">2. Why it matters now</w:t>
      </w:r>
    </w:p>
    <w:p>
      <w:pPr>
        <w:pStyle w:val="Heading3"/>
        <w:spacing w:after="80" w:before="200"/>
      </w:pPr>
      <w:r>
        <w:rPr>
          <w:rFonts w:ascii="Calibri" w:cs="Calibri" w:eastAsia="Calibri" w:hAnsi="Calibri"/>
          <w:b/>
          <w:bCs/>
          <w:color w:val="060203"/>
          <w:sz w:val="24"/>
          <w:szCs w:val="24"/>
        </w:rPr>
        <w:t xml:space="preserve">DFARS 252.204-7012</w:t>
      </w:r>
    </w:p>
    <w:p>
      <w:pPr>
        <w:spacing w:after="120"/>
      </w:pPr>
      <w:r>
        <w:rPr>
          <w:rFonts w:ascii="Calibri" w:cs="Calibri" w:eastAsia="Calibri" w:hAnsi="Calibri"/>
          <w:color w:val="060203"/>
          <w:sz w:val="22"/>
          <w:szCs w:val="22"/>
        </w:rPr>
        <w:t xml:space="preserve">Existing rule. Requires safeguarding of CUI and 72-hour incident reporting.</w:t>
      </w:r>
    </w:p>
    <w:p>
      <w:pPr>
        <w:pStyle w:val="Heading3"/>
        <w:spacing w:after="80" w:before="200"/>
      </w:pPr>
      <w:r>
        <w:rPr>
          <w:rFonts w:ascii="Calibri" w:cs="Calibri" w:eastAsia="Calibri" w:hAnsi="Calibri"/>
          <w:b/>
          <w:bCs/>
          <w:color w:val="060203"/>
          <w:sz w:val="24"/>
          <w:szCs w:val="24"/>
        </w:rPr>
        <w:t xml:space="preserve">DFARS 252.204-7019</w:t>
      </w:r>
    </w:p>
    <w:p>
      <w:pPr>
        <w:spacing w:after="120"/>
      </w:pPr>
      <w:r>
        <w:rPr>
          <w:rFonts w:ascii="Calibri" w:cs="Calibri" w:eastAsia="Calibri" w:hAnsi="Calibri"/>
          <w:color w:val="060203"/>
          <w:sz w:val="22"/>
          <w:szCs w:val="22"/>
        </w:rPr>
        <w:t xml:space="preserve">Requires a current NIST SP 800-171 score in SPRS to be eligible for award.</w:t>
      </w:r>
    </w:p>
    <w:p>
      <w:pPr>
        <w:pStyle w:val="Heading3"/>
        <w:spacing w:after="80" w:before="200"/>
      </w:pPr>
      <w:r>
        <w:rPr>
          <w:rFonts w:ascii="Calibri" w:cs="Calibri" w:eastAsia="Calibri" w:hAnsi="Calibri"/>
          <w:b/>
          <w:bCs/>
          <w:color w:val="060203"/>
          <w:sz w:val="24"/>
          <w:szCs w:val="24"/>
        </w:rPr>
        <w:t xml:space="preserve">DFARS 252.204-7020</w:t>
      </w:r>
    </w:p>
    <w:p>
      <w:pPr>
        <w:spacing w:after="120"/>
      </w:pPr>
      <w:r>
        <w:rPr>
          <w:rFonts w:ascii="Calibri" w:cs="Calibri" w:eastAsia="Calibri" w:hAnsi="Calibri"/>
          <w:color w:val="060203"/>
          <w:sz w:val="22"/>
          <w:szCs w:val="22"/>
        </w:rPr>
        <w:t xml:space="preserve">Allows DoD to verify that score with a higher-tier assessment.</w:t>
      </w:r>
    </w:p>
    <w:p>
      <w:pPr>
        <w:pStyle w:val="Heading3"/>
        <w:spacing w:after="80" w:before="200"/>
      </w:pPr>
      <w:r>
        <w:rPr>
          <w:rFonts w:ascii="Calibri" w:cs="Calibri" w:eastAsia="Calibri" w:hAnsi="Calibri"/>
          <w:b/>
          <w:bCs/>
          <w:color w:val="060203"/>
          <w:sz w:val="24"/>
          <w:szCs w:val="24"/>
        </w:rPr>
        <w:t xml:space="preserve">DFARS 252.204-7021</w:t>
      </w:r>
    </w:p>
    <w:p>
      <w:pPr>
        <w:spacing w:after="120"/>
      </w:pPr>
      <w:r>
        <w:rPr>
          <w:rFonts w:ascii="Calibri" w:cs="Calibri" w:eastAsia="Calibri" w:hAnsi="Calibri"/>
          <w:color w:val="060203"/>
          <w:sz w:val="22"/>
          <w:szCs w:val="22"/>
        </w:rPr>
        <w:t xml:space="preserve">Triggers the CMMC certification requirement once the contract clause is included.</w:t>
      </w:r>
    </w:p>
    <w:p>
      <w:pPr>
        <w:pStyle w:val="Heading3"/>
        <w:spacing w:after="80" w:before="200"/>
      </w:pPr>
      <w:r>
        <w:rPr>
          <w:rFonts w:ascii="Calibri" w:cs="Calibri" w:eastAsia="Calibri" w:hAnsi="Calibri"/>
          <w:b/>
          <w:bCs/>
          <w:color w:val="060203"/>
          <w:sz w:val="24"/>
          <w:szCs w:val="24"/>
        </w:rPr>
        <w:t xml:space="preserve">32 CFR Part 170</w:t>
      </w:r>
    </w:p>
    <w:p>
      <w:pPr>
        <w:spacing w:after="120"/>
      </w:pPr>
      <w:r>
        <w:rPr>
          <w:rFonts w:ascii="Calibri" w:cs="Calibri" w:eastAsia="Calibri" w:hAnsi="Calibri"/>
          <w:color w:val="060203"/>
          <w:sz w:val="22"/>
          <w:szCs w:val="22"/>
        </w:rPr>
        <w:t xml:space="preserve">Final CMMC rule, effective December 2024 — phased rollout into solicitations through 2028.</w:t>
      </w:r>
    </w:p>
    <w:p>
      <w:pPr>
        <w:pStyle w:val="Heading3"/>
        <w:spacing w:after="80" w:before="200"/>
      </w:pPr>
      <w:r>
        <w:rPr>
          <w:rFonts w:ascii="Calibri" w:cs="Calibri" w:eastAsia="Calibri" w:hAnsi="Calibri"/>
          <w:b/>
          <w:bCs/>
          <w:color w:val="060203"/>
          <w:sz w:val="24"/>
          <w:szCs w:val="24"/>
        </w:rPr>
        <w:t xml:space="preserve">No cert, no contract</w:t>
      </w:r>
    </w:p>
    <w:p>
      <w:pPr>
        <w:spacing w:after="120"/>
      </w:pPr>
      <w:r>
        <w:rPr>
          <w:rFonts w:ascii="Calibri" w:cs="Calibri" w:eastAsia="Calibri" w:hAnsi="Calibri"/>
          <w:color w:val="060203"/>
          <w:sz w:val="22"/>
          <w:szCs w:val="22"/>
        </w:rPr>
        <w:t xml:space="preserve">Once the clause is in your solicitation, you cannot be awarded the contract without the required CMMC level.</w:t>
      </w:r>
    </w:p>
    <w:p>
      <w:pPr>
        <w:pBdr>
          <w:left w:val="single" w:color="FF5B14" w:sz="16" w:space="12"/>
        </w:pBdr>
        <w:shd w:fill="FFF6F0" w:color="FFF6F0" w:val="solid"/>
        <w:spacing w:after="200" w:before="120"/>
        <w:ind w:left="200"/>
      </w:pPr>
      <w:r>
        <w:rPr>
          <w:rFonts w:ascii="Calibri" w:cs="Calibri" w:eastAsia="Calibri" w:hAnsi="Calibri"/>
          <w:i/>
          <w:iCs/>
          <w:color w:val="060203"/>
          <w:sz w:val="22"/>
          <w:szCs w:val="22"/>
        </w:rPr>
        <w:t xml:space="preserve">Once DFARS 252.204-7021 appears in your solicitation, you cannot be awarded the contract without the required CMMC certification. No cert, no contract.</w:t>
      </w:r>
    </w:p>
    <w:p>
      <w:r>
        <w:br w:type="page"/>
      </w:r>
    </w:p>
    <w:p>
      <w:pPr>
        <w:pStyle w:val="Heading1"/>
        <w:spacing w:after="120" w:before="360"/>
      </w:pPr>
      <w:r>
        <w:rPr>
          <w:rFonts w:ascii="Calibri" w:cs="Calibri" w:eastAsia="Calibri" w:hAnsi="Calibri"/>
          <w:b/>
          <w:bCs/>
          <w:color w:val="FF5B14"/>
          <w:sz w:val="36"/>
          <w:szCs w:val="36"/>
        </w:rPr>
        <w:t xml:space="preserve">3. The three levels</w:t>
      </w:r>
    </w:p>
    <w:p>
      <w:pPr>
        <w:pStyle w:val="Heading2"/>
        <w:spacing w:after="100" w:before="280"/>
      </w:pPr>
      <w:r>
        <w:rPr>
          <w:rFonts w:ascii="Calibri" w:cs="Calibri" w:eastAsia="Calibri" w:hAnsi="Calibri"/>
          <w:b/>
          <w:bCs/>
          <w:color w:val="060203"/>
          <w:sz w:val="28"/>
          <w:szCs w:val="28"/>
        </w:rPr>
        <w:t xml:space="preserve">Level 1 — Foundational</w:t>
      </w:r>
    </w:p>
    <w:p>
      <w:pPr>
        <w:spacing w:after="120"/>
      </w:pPr>
      <w:r>
        <w:rPr>
          <w:rFonts w:ascii="Calibri" w:cs="Calibri" w:eastAsia="Calibri" w:hAnsi="Calibri"/>
          <w:color w:val="060203"/>
          <w:sz w:val="22"/>
          <w:szCs w:val="22"/>
        </w:rPr>
        <w:t xml:space="preserve">Applies to any contractor that processes, stores, or transmits FCI but no CUI. Covers basic hygiene: access control, identification, media handling, physical protection, system integrity.</w:t>
      </w:r>
    </w:p>
    <w:p>
      <w:pPr>
        <w:pStyle w:val="ListParagraph"/>
        <w:numPr>
          <w:ilvl w:val="0"/>
          <w:numId w:val="1"/>
        </w:numPr>
        <w:spacing w:after="80"/>
      </w:pPr>
      <w:r>
        <w:rPr>
          <w:rFonts w:ascii="Calibri" w:cs="Calibri" w:eastAsia="Calibri" w:hAnsi="Calibri"/>
          <w:color w:val="060203"/>
          <w:sz w:val="22"/>
          <w:szCs w:val="22"/>
        </w:rPr>
        <w:t xml:space="preserve">Scope: Federal Contract Information (FCI)</w:t>
      </w:r>
    </w:p>
    <w:p>
      <w:pPr>
        <w:pStyle w:val="ListParagraph"/>
        <w:numPr>
          <w:ilvl w:val="0"/>
          <w:numId w:val="1"/>
        </w:numPr>
        <w:spacing w:after="80"/>
      </w:pPr>
      <w:r>
        <w:rPr>
          <w:rFonts w:ascii="Calibri" w:cs="Calibri" w:eastAsia="Calibri" w:hAnsi="Calibri"/>
          <w:color w:val="060203"/>
          <w:sz w:val="22"/>
          <w:szCs w:val="22"/>
        </w:rPr>
        <w:t xml:space="preserve">Practices: 17 basic safeguarding practices</w:t>
      </w:r>
    </w:p>
    <w:p>
      <w:pPr>
        <w:pStyle w:val="ListParagraph"/>
        <w:numPr>
          <w:ilvl w:val="0"/>
          <w:numId w:val="1"/>
        </w:numPr>
        <w:spacing w:after="80"/>
      </w:pPr>
      <w:r>
        <w:rPr>
          <w:rFonts w:ascii="Calibri" w:cs="Calibri" w:eastAsia="Calibri" w:hAnsi="Calibri"/>
          <w:color w:val="060203"/>
          <w:sz w:val="22"/>
          <w:szCs w:val="22"/>
        </w:rPr>
        <w:t xml:space="preserve">Domains: 6</w:t>
      </w:r>
    </w:p>
    <w:p>
      <w:pPr>
        <w:pStyle w:val="ListParagraph"/>
        <w:numPr>
          <w:ilvl w:val="0"/>
          <w:numId w:val="1"/>
        </w:numPr>
        <w:spacing w:after="80"/>
      </w:pPr>
      <w:r>
        <w:rPr>
          <w:rFonts w:ascii="Calibri" w:cs="Calibri" w:eastAsia="Calibri" w:hAnsi="Calibri"/>
          <w:color w:val="060203"/>
          <w:sz w:val="22"/>
          <w:szCs w:val="22"/>
        </w:rPr>
        <w:t xml:space="preserve">Assessment: Annual self-assessment, submitted to SPRS</w:t>
      </w:r>
    </w:p>
    <w:p>
      <w:pPr>
        <w:pStyle w:val="Heading2"/>
        <w:spacing w:after="100" w:before="280"/>
      </w:pPr>
      <w:r>
        <w:rPr>
          <w:rFonts w:ascii="Calibri" w:cs="Calibri" w:eastAsia="Calibri" w:hAnsi="Calibri"/>
          <w:b/>
          <w:bCs/>
          <w:color w:val="060203"/>
          <w:sz w:val="28"/>
          <w:szCs w:val="28"/>
        </w:rPr>
        <w:t xml:space="preserve">Level 2 — Advanced</w:t>
      </w:r>
    </w:p>
    <w:p>
      <w:pPr>
        <w:spacing w:after="120"/>
      </w:pPr>
      <w:r>
        <w:rPr>
          <w:rFonts w:ascii="Calibri" w:cs="Calibri" w:eastAsia="Calibri" w:hAnsi="Calibri"/>
          <w:color w:val="060203"/>
          <w:sz w:val="22"/>
          <w:szCs w:val="22"/>
        </w:rPr>
        <w:t xml:space="preserve">Applies to most defense contractors handling CUI — engineering drawings, technical data, test results, ITAR-controlled material. Triggered by DFARS clause 252.204-7021.</w:t>
      </w:r>
    </w:p>
    <w:p>
      <w:pPr>
        <w:pStyle w:val="ListParagraph"/>
        <w:numPr>
          <w:ilvl w:val="0"/>
          <w:numId w:val="1"/>
        </w:numPr>
        <w:spacing w:after="80"/>
      </w:pPr>
      <w:r>
        <w:rPr>
          <w:rFonts w:ascii="Calibri" w:cs="Calibri" w:eastAsia="Calibri" w:hAnsi="Calibri"/>
          <w:color w:val="060203"/>
          <w:sz w:val="22"/>
          <w:szCs w:val="22"/>
        </w:rPr>
        <w:t xml:space="preserve">Scope: Controlled Unclassified Information (CUI)</w:t>
      </w:r>
    </w:p>
    <w:p>
      <w:pPr>
        <w:pStyle w:val="ListParagraph"/>
        <w:numPr>
          <w:ilvl w:val="0"/>
          <w:numId w:val="1"/>
        </w:numPr>
        <w:spacing w:after="80"/>
      </w:pPr>
      <w:r>
        <w:rPr>
          <w:rFonts w:ascii="Calibri" w:cs="Calibri" w:eastAsia="Calibri" w:hAnsi="Calibri"/>
          <w:color w:val="060203"/>
          <w:sz w:val="22"/>
          <w:szCs w:val="22"/>
        </w:rPr>
        <w:t xml:space="preserve">Practices: 110 practices from NIST SP 800-171 Rev 2</w:t>
      </w:r>
    </w:p>
    <w:p>
      <w:pPr>
        <w:pStyle w:val="ListParagraph"/>
        <w:numPr>
          <w:ilvl w:val="0"/>
          <w:numId w:val="1"/>
        </w:numPr>
        <w:spacing w:after="80"/>
      </w:pPr>
      <w:r>
        <w:rPr>
          <w:rFonts w:ascii="Calibri" w:cs="Calibri" w:eastAsia="Calibri" w:hAnsi="Calibri"/>
          <w:color w:val="060203"/>
          <w:sz w:val="22"/>
          <w:szCs w:val="22"/>
        </w:rPr>
        <w:t xml:space="preserve">Domains: 14</w:t>
      </w:r>
    </w:p>
    <w:p>
      <w:pPr>
        <w:pStyle w:val="ListParagraph"/>
        <w:numPr>
          <w:ilvl w:val="0"/>
          <w:numId w:val="1"/>
        </w:numPr>
        <w:spacing w:after="80"/>
      </w:pPr>
      <w:r>
        <w:rPr>
          <w:rFonts w:ascii="Calibri" w:cs="Calibri" w:eastAsia="Calibri" w:hAnsi="Calibri"/>
          <w:color w:val="060203"/>
          <w:sz w:val="22"/>
          <w:szCs w:val="22"/>
        </w:rPr>
        <w:t xml:space="preserve">Assessment: C3PAO assessment every 3 years (most CUI contracts)</w:t>
      </w:r>
    </w:p>
    <w:p>
      <w:pPr>
        <w:pStyle w:val="Heading2"/>
        <w:spacing w:after="100" w:before="280"/>
      </w:pPr>
      <w:r>
        <w:rPr>
          <w:rFonts w:ascii="Calibri" w:cs="Calibri" w:eastAsia="Calibri" w:hAnsi="Calibri"/>
          <w:b/>
          <w:bCs/>
          <w:color w:val="060203"/>
          <w:sz w:val="28"/>
          <w:szCs w:val="28"/>
        </w:rPr>
        <w:t xml:space="preserve">Level 3 — Expert</w:t>
      </w:r>
    </w:p>
    <w:p>
      <w:pPr>
        <w:spacing w:after="120"/>
      </w:pPr>
      <w:r>
        <w:rPr>
          <w:rFonts w:ascii="Calibri" w:cs="Calibri" w:eastAsia="Calibri" w:hAnsi="Calibri"/>
          <w:color w:val="060203"/>
          <w:sz w:val="22"/>
          <w:szCs w:val="22"/>
        </w:rPr>
        <w:t xml:space="preserve">Applies to a small subset of high-priority programs. Government-led assessment by the Defense Industrial Base Cybersecurity Assessment Center.</w:t>
      </w:r>
    </w:p>
    <w:p>
      <w:pPr>
        <w:pStyle w:val="ListParagraph"/>
        <w:numPr>
          <w:ilvl w:val="0"/>
          <w:numId w:val="1"/>
        </w:numPr>
        <w:spacing w:after="80"/>
      </w:pPr>
      <w:r>
        <w:rPr>
          <w:rFonts w:ascii="Calibri" w:cs="Calibri" w:eastAsia="Calibri" w:hAnsi="Calibri"/>
          <w:color w:val="060203"/>
          <w:sz w:val="22"/>
          <w:szCs w:val="22"/>
        </w:rPr>
        <w:t xml:space="preserve">Scope: CUI in programs facing advanced persistent threats</w:t>
      </w:r>
    </w:p>
    <w:p>
      <w:pPr>
        <w:pStyle w:val="ListParagraph"/>
        <w:numPr>
          <w:ilvl w:val="0"/>
          <w:numId w:val="1"/>
        </w:numPr>
        <w:spacing w:after="80"/>
      </w:pPr>
      <w:r>
        <w:rPr>
          <w:rFonts w:ascii="Calibri" w:cs="Calibri" w:eastAsia="Calibri" w:hAnsi="Calibri"/>
          <w:color w:val="060203"/>
          <w:sz w:val="22"/>
          <w:szCs w:val="22"/>
        </w:rPr>
        <w:t xml:space="preserve">Practices: 110 Level 2 practices + 24 enhanced from NIST SP 800-172</w:t>
      </w:r>
    </w:p>
    <w:p>
      <w:pPr>
        <w:pStyle w:val="ListParagraph"/>
        <w:numPr>
          <w:ilvl w:val="0"/>
          <w:numId w:val="1"/>
        </w:numPr>
        <w:spacing w:after="80"/>
      </w:pPr>
      <w:r>
        <w:rPr>
          <w:rFonts w:ascii="Calibri" w:cs="Calibri" w:eastAsia="Calibri" w:hAnsi="Calibri"/>
          <w:color w:val="060203"/>
          <w:sz w:val="22"/>
          <w:szCs w:val="22"/>
        </w:rPr>
        <w:t xml:space="preserve">Domains: 14</w:t>
      </w:r>
    </w:p>
    <w:p>
      <w:pPr>
        <w:pStyle w:val="ListParagraph"/>
        <w:numPr>
          <w:ilvl w:val="0"/>
          <w:numId w:val="1"/>
        </w:numPr>
        <w:spacing w:after="80"/>
      </w:pPr>
      <w:r>
        <w:rPr>
          <w:rFonts w:ascii="Calibri" w:cs="Calibri" w:eastAsia="Calibri" w:hAnsi="Calibri"/>
          <w:color w:val="060203"/>
          <w:sz w:val="22"/>
          <w:szCs w:val="22"/>
        </w:rPr>
        <w:t xml:space="preserve">Assessment: Government-led DIBCAC assessment</w:t>
      </w:r>
    </w:p>
    <w:p>
      <w:r>
        <w:br w:type="page"/>
      </w:r>
    </w:p>
    <w:p>
      <w:pPr>
        <w:pStyle w:val="Heading1"/>
        <w:spacing w:after="120" w:before="360"/>
      </w:pPr>
      <w:r>
        <w:rPr>
          <w:rFonts w:ascii="Calibri" w:cs="Calibri" w:eastAsia="Calibri" w:hAnsi="Calibri"/>
          <w:b/>
          <w:bCs/>
          <w:color w:val="FF5B14"/>
          <w:sz w:val="36"/>
          <w:szCs w:val="36"/>
        </w:rPr>
        <w:t xml:space="preserve">4. How BRITECITY engages on each level</w:t>
      </w:r>
    </w:p>
    <w:p>
      <w:pPr>
        <w:pStyle w:val="Heading2"/>
        <w:spacing w:after="100" w:before="280"/>
      </w:pPr>
      <w:r>
        <w:rPr>
          <w:rFonts w:ascii="Calibri" w:cs="Calibri" w:eastAsia="Calibri" w:hAnsi="Calibri"/>
          <w:b/>
          <w:bCs/>
          <w:color w:val="060203"/>
          <w:sz w:val="28"/>
          <w:szCs w:val="28"/>
        </w:rPr>
        <w:t xml:space="preserve">Level 1 — Owner</w:t>
      </w:r>
    </w:p>
    <w:p>
      <w:pPr>
        <w:spacing w:after="120"/>
      </w:pPr>
      <w:r>
        <w:rPr>
          <w:rFonts w:ascii="Calibri" w:cs="Calibri" w:eastAsia="Calibri" w:hAnsi="Calibri"/>
          <w:color w:val="060203"/>
          <w:sz w:val="22"/>
          <w:szCs w:val="22"/>
        </w:rPr>
        <w:t xml:space="preserve">BRITECITY delivers Level 1 end-to-end</w:t>
      </w:r>
    </w:p>
    <w:p>
      <w:pPr>
        <w:pStyle w:val="ListParagraph"/>
        <w:numPr>
          <w:ilvl w:val="0"/>
          <w:numId w:val="1"/>
        </w:numPr>
        <w:spacing w:after="80"/>
      </w:pPr>
      <w:r>
        <w:rPr>
          <w:rFonts w:ascii="Calibri" w:cs="Calibri" w:eastAsia="Calibri" w:hAnsi="Calibri"/>
          <w:color w:val="060203"/>
          <w:sz w:val="22"/>
          <w:szCs w:val="22"/>
        </w:rPr>
        <w:t xml:space="preserve">Discovery — confirm FCI scope, inventory systems, identify named POC</w:t>
      </w:r>
    </w:p>
    <w:p>
      <w:pPr>
        <w:pStyle w:val="ListParagraph"/>
        <w:numPr>
          <w:ilvl w:val="0"/>
          <w:numId w:val="1"/>
        </w:numPr>
        <w:spacing w:after="80"/>
      </w:pPr>
      <w:r>
        <w:rPr>
          <w:rFonts w:ascii="Calibri" w:cs="Calibri" w:eastAsia="Calibri" w:hAnsi="Calibri"/>
          <w:color w:val="060203"/>
          <w:sz w:val="22"/>
          <w:szCs w:val="22"/>
        </w:rPr>
        <w:t xml:space="preserve">Gap analysis — map current state to the 17 practices</w:t>
      </w:r>
    </w:p>
    <w:p>
      <w:pPr>
        <w:pStyle w:val="ListParagraph"/>
        <w:numPr>
          <w:ilvl w:val="0"/>
          <w:numId w:val="1"/>
        </w:numPr>
        <w:spacing w:after="80"/>
      </w:pPr>
      <w:r>
        <w:rPr>
          <w:rFonts w:ascii="Calibri" w:cs="Calibri" w:eastAsia="Calibri" w:hAnsi="Calibri"/>
          <w:color w:val="060203"/>
          <w:sz w:val="22"/>
          <w:szCs w:val="22"/>
        </w:rPr>
        <w:t xml:space="preserve">Remediation — close gaps, document configurations</w:t>
      </w:r>
    </w:p>
    <w:p>
      <w:pPr>
        <w:pStyle w:val="ListParagraph"/>
        <w:numPr>
          <w:ilvl w:val="0"/>
          <w:numId w:val="1"/>
        </w:numPr>
        <w:spacing w:after="80"/>
      </w:pPr>
      <w:r>
        <w:rPr>
          <w:rFonts w:ascii="Calibri" w:cs="Calibri" w:eastAsia="Calibri" w:hAnsi="Calibri"/>
          <w:color w:val="060203"/>
          <w:sz w:val="22"/>
          <w:szCs w:val="22"/>
        </w:rPr>
        <w:t xml:space="preserve">System Security Plan (SSP) — written and maintained for you</w:t>
      </w:r>
    </w:p>
    <w:p>
      <w:pPr>
        <w:pStyle w:val="ListParagraph"/>
        <w:numPr>
          <w:ilvl w:val="0"/>
          <w:numId w:val="1"/>
        </w:numPr>
        <w:spacing w:after="80"/>
      </w:pPr>
      <w:r>
        <w:rPr>
          <w:rFonts w:ascii="Calibri" w:cs="Calibri" w:eastAsia="Calibri" w:hAnsi="Calibri"/>
          <w:color w:val="060203"/>
          <w:sz w:val="22"/>
          <w:szCs w:val="22"/>
        </w:rPr>
        <w:t xml:space="preserve">Annual self-attestation support — score calculation, SPRS submission</w:t>
      </w:r>
    </w:p>
    <w:p>
      <w:pPr>
        <w:pBdr>
          <w:left w:val="single" w:color="FF5B14" w:sz="16" w:space="12"/>
        </w:pBdr>
        <w:shd w:fill="FFF6F0" w:color="FFF6F0" w:val="solid"/>
        <w:spacing w:after="200" w:before="120"/>
        <w:ind w:left="200"/>
      </w:pPr>
      <w:r>
        <w:rPr>
          <w:rFonts w:ascii="Calibri" w:cs="Calibri" w:eastAsia="Calibri" w:hAnsi="Calibri"/>
          <w:i/>
          <w:iCs/>
          <w:color w:val="060203"/>
          <w:sz w:val="22"/>
          <w:szCs w:val="22"/>
        </w:rPr>
        <w:t xml:space="preserve">Single billable IT engagement at our standard rate. Scoped up front based on system count and current state.</w:t>
      </w:r>
    </w:p>
    <w:p>
      <w:pPr>
        <w:pStyle w:val="Heading2"/>
        <w:spacing w:after="100" w:before="280"/>
      </w:pPr>
      <w:r>
        <w:rPr>
          <w:rFonts w:ascii="Calibri" w:cs="Calibri" w:eastAsia="Calibri" w:hAnsi="Calibri"/>
          <w:b/>
          <w:bCs/>
          <w:color w:val="060203"/>
          <w:sz w:val="28"/>
          <w:szCs w:val="28"/>
        </w:rPr>
        <w:t xml:space="preserve">Level 2 — Co-delivery — IT remediation owner</w:t>
      </w:r>
    </w:p>
    <w:p>
      <w:pPr>
        <w:spacing w:after="120"/>
      </w:pPr>
      <w:r>
        <w:rPr>
          <w:rFonts w:ascii="Calibri" w:cs="Calibri" w:eastAsia="Calibri" w:hAnsi="Calibri"/>
          <w:color w:val="060203"/>
          <w:sz w:val="22"/>
          <w:szCs w:val="22"/>
        </w:rPr>
        <w:t xml:space="preserve">BRITECITY co-delivers Level 2 with a 3rd-party CMMC partner</w:t>
      </w:r>
    </w:p>
    <w:p>
      <w:pPr>
        <w:pStyle w:val="ListParagraph"/>
        <w:numPr>
          <w:ilvl w:val="0"/>
          <w:numId w:val="1"/>
        </w:numPr>
        <w:spacing w:after="80"/>
      </w:pPr>
      <w:r>
        <w:rPr>
          <w:rFonts w:ascii="Calibri" w:cs="Calibri" w:eastAsia="Calibri" w:hAnsi="Calibri"/>
          <w:color w:val="060203"/>
          <w:sz w:val="22"/>
          <w:szCs w:val="22"/>
        </w:rPr>
        <w:t xml:space="preserve">BRITECITY brings in an accredited CMMC RPO / C3PAO partner</w:t>
      </w:r>
    </w:p>
    <w:p>
      <w:pPr>
        <w:pStyle w:val="ListParagraph"/>
        <w:numPr>
          <w:ilvl w:val="0"/>
          <w:numId w:val="1"/>
        </w:numPr>
        <w:spacing w:after="80"/>
      </w:pPr>
      <w:r>
        <w:rPr>
          <w:rFonts w:ascii="Calibri" w:cs="Calibri" w:eastAsia="Calibri" w:hAnsi="Calibri"/>
          <w:color w:val="060203"/>
          <w:sz w:val="22"/>
          <w:szCs w:val="22"/>
        </w:rPr>
        <w:t xml:space="preserve">The partner walks both the client and BRITECITY through the assessment process</w:t>
      </w:r>
    </w:p>
    <w:p>
      <w:pPr>
        <w:pStyle w:val="ListParagraph"/>
        <w:numPr>
          <w:ilvl w:val="0"/>
          <w:numId w:val="1"/>
        </w:numPr>
        <w:spacing w:after="80"/>
      </w:pPr>
      <w:r>
        <w:rPr>
          <w:rFonts w:ascii="Calibri" w:cs="Calibri" w:eastAsia="Calibri" w:hAnsi="Calibri"/>
          <w:color w:val="060203"/>
          <w:sz w:val="22"/>
          <w:szCs w:val="22"/>
        </w:rPr>
        <w:t xml:space="preserve">BRITECITY owns the IT remediation work — MFA, FIPS encryption, SIEM, EDR, network segmentation, account lifecycle automation</w:t>
      </w:r>
    </w:p>
    <w:p>
      <w:pPr>
        <w:pStyle w:val="ListParagraph"/>
        <w:numPr>
          <w:ilvl w:val="0"/>
          <w:numId w:val="1"/>
        </w:numPr>
        <w:spacing w:after="80"/>
      </w:pPr>
      <w:r>
        <w:rPr>
          <w:rFonts w:ascii="Calibri" w:cs="Calibri" w:eastAsia="Calibri" w:hAnsi="Calibri"/>
          <w:color w:val="060203"/>
          <w:sz w:val="22"/>
          <w:szCs w:val="22"/>
        </w:rPr>
        <w:t xml:space="preserve">The partner owns the assessment artifacts — SSP review, POA&amp;M coordination, C3PAO scheduling</w:t>
      </w:r>
    </w:p>
    <w:p>
      <w:pPr>
        <w:pStyle w:val="ListParagraph"/>
        <w:numPr>
          <w:ilvl w:val="0"/>
          <w:numId w:val="1"/>
        </w:numPr>
        <w:spacing w:after="80"/>
      </w:pPr>
      <w:r>
        <w:rPr>
          <w:rFonts w:ascii="Calibri" w:cs="Calibri" w:eastAsia="Calibri" w:hAnsi="Calibri"/>
          <w:color w:val="060203"/>
          <w:sz w:val="22"/>
          <w:szCs w:val="22"/>
        </w:rPr>
        <w:t xml:space="preserve">Multi-month engagement; typical readiness window is 12–18 months for a contractor starting from a low SPRS score</w:t>
      </w:r>
    </w:p>
    <w:p>
      <w:pPr>
        <w:pBdr>
          <w:left w:val="single" w:color="FF5B14" w:sz="16" w:space="12"/>
        </w:pBdr>
        <w:shd w:fill="FFF6F0" w:color="FFF6F0" w:val="solid"/>
        <w:spacing w:after="200" w:before="120"/>
        <w:ind w:left="200"/>
      </w:pPr>
      <w:r>
        <w:rPr>
          <w:rFonts w:ascii="Calibri" w:cs="Calibri" w:eastAsia="Calibri" w:hAnsi="Calibri"/>
          <w:i/>
          <w:iCs/>
          <w:color w:val="060203"/>
          <w:sz w:val="22"/>
          <w:szCs w:val="22"/>
        </w:rPr>
        <w:t xml:space="preserve">Billable engagement at our standard rate, plus 3rd-party assessor fees passed through at cost. Scoped after a paid readiness assessment.</w:t>
      </w:r>
    </w:p>
    <w:p>
      <w:pPr>
        <w:pStyle w:val="Heading2"/>
        <w:spacing w:after="100" w:before="280"/>
      </w:pPr>
      <w:r>
        <w:rPr>
          <w:rFonts w:ascii="Calibri" w:cs="Calibri" w:eastAsia="Calibri" w:hAnsi="Calibri"/>
          <w:b/>
          <w:bCs/>
          <w:color w:val="060203"/>
          <w:sz w:val="28"/>
          <w:szCs w:val="28"/>
        </w:rPr>
        <w:t xml:space="preserve">Level 3 — Referral</w:t>
      </w:r>
    </w:p>
    <w:p>
      <w:pPr>
        <w:spacing w:after="120"/>
      </w:pPr>
      <w:r>
        <w:rPr>
          <w:rFonts w:ascii="Calibri" w:cs="Calibri" w:eastAsia="Calibri" w:hAnsi="Calibri"/>
          <w:color w:val="060203"/>
          <w:sz w:val="22"/>
          <w:szCs w:val="22"/>
        </w:rPr>
        <w:t xml:space="preserve">BRITECITY does not provide Level 3 today</w:t>
      </w:r>
    </w:p>
    <w:p>
      <w:pPr>
        <w:pStyle w:val="ListParagraph"/>
        <w:numPr>
          <w:ilvl w:val="0"/>
          <w:numId w:val="1"/>
        </w:numPr>
        <w:spacing w:after="80"/>
      </w:pPr>
      <w:r>
        <w:rPr>
          <w:rFonts w:ascii="Calibri" w:cs="Calibri" w:eastAsia="Calibri" w:hAnsi="Calibri"/>
          <w:color w:val="060203"/>
          <w:sz w:val="22"/>
          <w:szCs w:val="22"/>
        </w:rPr>
        <w:t xml:space="preserve">Level 3 is reserved for a small subset of high-priority DoD programs</w:t>
      </w:r>
    </w:p>
    <w:p>
      <w:pPr>
        <w:pStyle w:val="ListParagraph"/>
        <w:numPr>
          <w:ilvl w:val="0"/>
          <w:numId w:val="1"/>
        </w:numPr>
        <w:spacing w:after="80"/>
      </w:pPr>
      <w:r>
        <w:rPr>
          <w:rFonts w:ascii="Calibri" w:cs="Calibri" w:eastAsia="Calibri" w:hAnsi="Calibri"/>
          <w:color w:val="060203"/>
          <w:sz w:val="22"/>
          <w:szCs w:val="22"/>
        </w:rPr>
        <w:t xml:space="preserve">It is assessed by the government (DIBCAC), not a commercial C3PAO</w:t>
      </w:r>
    </w:p>
    <w:p>
      <w:pPr>
        <w:pStyle w:val="ListParagraph"/>
        <w:numPr>
          <w:ilvl w:val="0"/>
          <w:numId w:val="1"/>
        </w:numPr>
        <w:spacing w:after="80"/>
      </w:pPr>
      <w:r>
        <w:rPr>
          <w:rFonts w:ascii="Calibri" w:cs="Calibri" w:eastAsia="Calibri" w:hAnsi="Calibri"/>
          <w:color w:val="060203"/>
          <w:sz w:val="22"/>
          <w:szCs w:val="22"/>
        </w:rPr>
        <w:t xml:space="preserve">Requires NIST SP 800-172 enhanced controls beyond standard MSP scope</w:t>
      </w:r>
    </w:p>
    <w:p>
      <w:pPr>
        <w:pStyle w:val="ListParagraph"/>
        <w:numPr>
          <w:ilvl w:val="0"/>
          <w:numId w:val="1"/>
        </w:numPr>
        <w:spacing w:after="80"/>
      </w:pPr>
      <w:r>
        <w:rPr>
          <w:rFonts w:ascii="Calibri" w:cs="Calibri" w:eastAsia="Calibri" w:hAnsi="Calibri"/>
          <w:color w:val="060203"/>
          <w:sz w:val="22"/>
          <w:szCs w:val="22"/>
        </w:rPr>
        <w:t xml:space="preserve">BRITECITY refers Level 3 prospects to a specialty defense-cyber firm</w:t>
      </w:r>
    </w:p>
    <w:p>
      <w:pPr>
        <w:pBdr>
          <w:left w:val="single" w:color="FF5B14" w:sz="16" w:space="12"/>
        </w:pBdr>
        <w:shd w:fill="FFF6F0" w:color="FFF6F0" w:val="solid"/>
        <w:spacing w:after="200" w:before="120"/>
        <w:ind w:left="200"/>
      </w:pPr>
      <w:r>
        <w:rPr>
          <w:rFonts w:ascii="Calibri" w:cs="Calibri" w:eastAsia="Calibri" w:hAnsi="Calibri"/>
          <w:i/>
          <w:iCs/>
          <w:color w:val="060203"/>
          <w:sz w:val="22"/>
          <w:szCs w:val="22"/>
        </w:rPr>
        <w:t xml:space="preserve">Not offered. Referral only.</w:t>
      </w:r>
    </w:p>
    <w:p>
      <w:r>
        <w:br w:type="page"/>
      </w:r>
    </w:p>
    <w:p>
      <w:pPr>
        <w:pStyle w:val="Heading1"/>
        <w:spacing w:after="120" w:before="360"/>
      </w:pPr>
      <w:r>
        <w:rPr>
          <w:rFonts w:ascii="Calibri" w:cs="Calibri" w:eastAsia="Calibri" w:hAnsi="Calibri"/>
          <w:b/>
          <w:bCs/>
          <w:color w:val="FF5B14"/>
          <w:sz w:val="36"/>
          <w:szCs w:val="36"/>
        </w:rPr>
        <w:t xml:space="preserve">5. What we need from you</w:t>
      </w:r>
    </w:p>
    <w:p>
      <w:pPr>
        <w:spacing w:after="80"/>
      </w:pPr>
      <w:r>
        <w:rPr>
          <w:rFonts w:ascii="Calibri" w:cs="Calibri" w:eastAsia="Calibri" w:hAnsi="Calibri"/>
          <w:b/>
          <w:bCs/>
          <w:color w:val="FF5B14"/>
          <w:sz w:val="22"/>
          <w:szCs w:val="22"/>
        </w:rPr>
        <w:t xml:space="preserve">01.  </w:t>
      </w:r>
      <w:r>
        <w:rPr>
          <w:rFonts w:ascii="Calibri" w:cs="Calibri" w:eastAsia="Calibri" w:hAnsi="Calibri"/>
          <w:color w:val="060203"/>
          <w:sz w:val="22"/>
          <w:szCs w:val="22"/>
        </w:rPr>
        <w:t xml:space="preserve">Contract scope — which contracts contain DFARS 252.204-7021 and what data flows under them</w:t>
      </w:r>
    </w:p>
    <w:p>
      <w:pPr>
        <w:spacing w:after="80"/>
      </w:pPr>
      <w:r>
        <w:rPr>
          <w:rFonts w:ascii="Calibri" w:cs="Calibri" w:eastAsia="Calibri" w:hAnsi="Calibri"/>
          <w:b/>
          <w:bCs/>
          <w:color w:val="FF5B14"/>
          <w:sz w:val="22"/>
          <w:szCs w:val="22"/>
        </w:rPr>
        <w:t xml:space="preserve">02.  </w:t>
      </w:r>
      <w:r>
        <w:rPr>
          <w:rFonts w:ascii="Calibri" w:cs="Calibri" w:eastAsia="Calibri" w:hAnsi="Calibri"/>
          <w:color w:val="060203"/>
          <w:sz w:val="22"/>
          <w:szCs w:val="22"/>
        </w:rPr>
        <w:t xml:space="preserve">System inventory — every device, app, and cloud tenant that touches FCI or CUI</w:t>
      </w:r>
    </w:p>
    <w:p>
      <w:pPr>
        <w:spacing w:after="80"/>
      </w:pPr>
      <w:r>
        <w:rPr>
          <w:rFonts w:ascii="Calibri" w:cs="Calibri" w:eastAsia="Calibri" w:hAnsi="Calibri"/>
          <w:b/>
          <w:bCs/>
          <w:color w:val="FF5B14"/>
          <w:sz w:val="22"/>
          <w:szCs w:val="22"/>
        </w:rPr>
        <w:t xml:space="preserve">03.  </w:t>
      </w:r>
      <w:r>
        <w:rPr>
          <w:rFonts w:ascii="Calibri" w:cs="Calibri" w:eastAsia="Calibri" w:hAnsi="Calibri"/>
          <w:color w:val="060203"/>
          <w:sz w:val="22"/>
          <w:szCs w:val="22"/>
        </w:rPr>
        <w:t xml:space="preserve">Named project sponsor with budget authority</w:t>
      </w:r>
    </w:p>
    <w:p>
      <w:pPr>
        <w:spacing w:after="80"/>
      </w:pPr>
      <w:r>
        <w:rPr>
          <w:rFonts w:ascii="Calibri" w:cs="Calibri" w:eastAsia="Calibri" w:hAnsi="Calibri"/>
          <w:b/>
          <w:bCs/>
          <w:color w:val="FF5B14"/>
          <w:sz w:val="22"/>
          <w:szCs w:val="22"/>
        </w:rPr>
        <w:t xml:space="preserve">04.  </w:t>
      </w:r>
      <w:r>
        <w:rPr>
          <w:rFonts w:ascii="Calibri" w:cs="Calibri" w:eastAsia="Calibri" w:hAnsi="Calibri"/>
          <w:color w:val="060203"/>
          <w:sz w:val="22"/>
          <w:szCs w:val="22"/>
        </w:rPr>
        <w:t xml:space="preserve">Named day-to-day point of contact</w:t>
      </w:r>
    </w:p>
    <w:p>
      <w:pPr>
        <w:spacing w:after="80"/>
      </w:pPr>
      <w:r>
        <w:rPr>
          <w:rFonts w:ascii="Calibri" w:cs="Calibri" w:eastAsia="Calibri" w:hAnsi="Calibri"/>
          <w:b/>
          <w:bCs/>
          <w:color w:val="FF5B14"/>
          <w:sz w:val="22"/>
          <w:szCs w:val="22"/>
        </w:rPr>
        <w:t xml:space="preserve">05.  </w:t>
      </w:r>
      <w:r>
        <w:rPr>
          <w:rFonts w:ascii="Calibri" w:cs="Calibri" w:eastAsia="Calibri" w:hAnsi="Calibri"/>
          <w:color w:val="060203"/>
          <w:sz w:val="22"/>
          <w:szCs w:val="22"/>
        </w:rPr>
        <w:t xml:space="preserve">Decision on enclave-vs-enterprise scoping (a CUI enclave is usually cheaper to certify than the whole company)</w:t>
      </w:r>
    </w:p>
    <w:p>
      <w:pPr>
        <w:spacing w:after="80"/>
      </w:pPr>
      <w:r>
        <w:rPr>
          <w:rFonts w:ascii="Calibri" w:cs="Calibri" w:eastAsia="Calibri" w:hAnsi="Calibri"/>
          <w:b/>
          <w:bCs/>
          <w:color w:val="FF5B14"/>
          <w:sz w:val="22"/>
          <w:szCs w:val="22"/>
        </w:rPr>
        <w:t xml:space="preserve">06.  </w:t>
      </w:r>
      <w:r>
        <w:rPr>
          <w:rFonts w:ascii="Calibri" w:cs="Calibri" w:eastAsia="Calibri" w:hAnsi="Calibri"/>
          <w:color w:val="060203"/>
          <w:sz w:val="22"/>
          <w:szCs w:val="22"/>
        </w:rPr>
        <w:t xml:space="preserve">Access to existing security tooling, M365 / Google tenant, and HR offboarding process</w:t>
      </w:r>
    </w:p>
    <w:p>
      <w:r>
        <w:br w:type="page"/>
      </w:r>
    </w:p>
    <w:p>
      <w:pPr>
        <w:pStyle w:val="Heading1"/>
        <w:spacing w:after="120" w:before="360"/>
      </w:pPr>
      <w:r>
        <w:rPr>
          <w:rFonts w:ascii="Calibri" w:cs="Calibri" w:eastAsia="Calibri" w:hAnsi="Calibri"/>
          <w:b/>
          <w:bCs/>
          <w:color w:val="FF5B14"/>
          <w:sz w:val="36"/>
          <w:szCs w:val="36"/>
        </w:rPr>
        <w:t xml:space="preserve">6. The roadmap</w:t>
      </w:r>
    </w:p>
    <w:p>
      <w:pPr>
        <w:pStyle w:val="Heading3"/>
        <w:spacing w:after="80" w:before="200"/>
      </w:pPr>
      <w:r>
        <w:rPr>
          <w:rFonts w:ascii="Calibri" w:cs="Calibri" w:eastAsia="Calibri" w:hAnsi="Calibri"/>
          <w:b/>
          <w:bCs/>
          <w:color w:val="060203"/>
          <w:sz w:val="24"/>
          <w:szCs w:val="24"/>
        </w:rPr>
        <w:t xml:space="preserve">01 · Discovery</w:t>
      </w:r>
    </w:p>
    <w:p>
      <w:pPr>
        <w:spacing w:after="120"/>
      </w:pPr>
      <w:r>
        <w:rPr>
          <w:rFonts w:ascii="Calibri" w:cs="Calibri" w:eastAsia="Calibri" w:hAnsi="Calibri"/>
          <w:color w:val="060203"/>
          <w:sz w:val="22"/>
          <w:szCs w:val="22"/>
        </w:rPr>
        <w:t xml:space="preserve">Scope contracts, inventory systems, identify CUI flow, choose enclave vs. enterprise.</w:t>
      </w:r>
    </w:p>
    <w:p>
      <w:pPr>
        <w:pStyle w:val="Heading3"/>
        <w:spacing w:after="80" w:before="200"/>
      </w:pPr>
      <w:r>
        <w:rPr>
          <w:rFonts w:ascii="Calibri" w:cs="Calibri" w:eastAsia="Calibri" w:hAnsi="Calibri"/>
          <w:b/>
          <w:bCs/>
          <w:color w:val="060203"/>
          <w:sz w:val="24"/>
          <w:szCs w:val="24"/>
        </w:rPr>
        <w:t xml:space="preserve">02 · Gap Analysis</w:t>
      </w:r>
    </w:p>
    <w:p>
      <w:pPr>
        <w:spacing w:after="120"/>
      </w:pPr>
      <w:r>
        <w:rPr>
          <w:rFonts w:ascii="Calibri" w:cs="Calibri" w:eastAsia="Calibri" w:hAnsi="Calibri"/>
          <w:color w:val="060203"/>
          <w:sz w:val="22"/>
          <w:szCs w:val="22"/>
        </w:rPr>
        <w:t xml:space="preserve">Map current state to required practices. Score against SPRS scale (-203 to 110).</w:t>
      </w:r>
    </w:p>
    <w:p>
      <w:pPr>
        <w:pStyle w:val="Heading3"/>
        <w:spacing w:after="80" w:before="200"/>
      </w:pPr>
      <w:r>
        <w:rPr>
          <w:rFonts w:ascii="Calibri" w:cs="Calibri" w:eastAsia="Calibri" w:hAnsi="Calibri"/>
          <w:b/>
          <w:bCs/>
          <w:color w:val="060203"/>
          <w:sz w:val="24"/>
          <w:szCs w:val="24"/>
        </w:rPr>
        <w:t xml:space="preserve">03 · Remediation</w:t>
      </w:r>
    </w:p>
    <w:p>
      <w:pPr>
        <w:spacing w:after="120"/>
      </w:pPr>
      <w:r>
        <w:rPr>
          <w:rFonts w:ascii="Calibri" w:cs="Calibri" w:eastAsia="Calibri" w:hAnsi="Calibri"/>
          <w:color w:val="060203"/>
          <w:sz w:val="22"/>
          <w:szCs w:val="22"/>
        </w:rPr>
        <w:t xml:space="preserve">Close gaps. Deploy MFA, FIPS-validated encryption, SIEM, EDR, account lifecycle automation, and policy.</w:t>
      </w:r>
    </w:p>
    <w:p>
      <w:pPr>
        <w:pStyle w:val="Heading3"/>
        <w:spacing w:after="80" w:before="200"/>
      </w:pPr>
      <w:r>
        <w:rPr>
          <w:rFonts w:ascii="Calibri" w:cs="Calibri" w:eastAsia="Calibri" w:hAnsi="Calibri"/>
          <w:b/>
          <w:bCs/>
          <w:color w:val="060203"/>
          <w:sz w:val="24"/>
          <w:szCs w:val="24"/>
        </w:rPr>
        <w:t xml:space="preserve">04 · SSP &amp; POA&amp;M</w:t>
      </w:r>
    </w:p>
    <w:p>
      <w:pPr>
        <w:spacing w:after="120"/>
      </w:pPr>
      <w:r>
        <w:rPr>
          <w:rFonts w:ascii="Calibri" w:cs="Calibri" w:eastAsia="Calibri" w:hAnsi="Calibri"/>
          <w:color w:val="060203"/>
          <w:sz w:val="22"/>
          <w:szCs w:val="22"/>
        </w:rPr>
        <w:t xml:space="preserve">Write the System Security Plan. Document any open items in a Plan of Action &amp; Milestones.</w:t>
      </w:r>
    </w:p>
    <w:p>
      <w:pPr>
        <w:pStyle w:val="Heading3"/>
        <w:spacing w:after="80" w:before="200"/>
      </w:pPr>
      <w:r>
        <w:rPr>
          <w:rFonts w:ascii="Calibri" w:cs="Calibri" w:eastAsia="Calibri" w:hAnsi="Calibri"/>
          <w:b/>
          <w:bCs/>
          <w:color w:val="060203"/>
          <w:sz w:val="24"/>
          <w:szCs w:val="24"/>
        </w:rPr>
        <w:t xml:space="preserve">05 · Assessment</w:t>
      </w:r>
    </w:p>
    <w:p>
      <w:pPr>
        <w:spacing w:after="120"/>
      </w:pPr>
      <w:r>
        <w:rPr>
          <w:rFonts w:ascii="Calibri" w:cs="Calibri" w:eastAsia="Calibri" w:hAnsi="Calibri"/>
          <w:color w:val="060203"/>
          <w:sz w:val="22"/>
          <w:szCs w:val="22"/>
        </w:rPr>
        <w:t xml:space="preserve">Level 1 — submit self-assessment to SPRS. Level 2 — schedule and pass C3PAO assessment.</w:t>
      </w:r>
    </w:p>
    <w:p>
      <w:pPr>
        <w:pStyle w:val="Heading3"/>
        <w:spacing w:after="80" w:before="200"/>
      </w:pPr>
      <w:r>
        <w:rPr>
          <w:rFonts w:ascii="Calibri" w:cs="Calibri" w:eastAsia="Calibri" w:hAnsi="Calibri"/>
          <w:b/>
          <w:bCs/>
          <w:color w:val="060203"/>
          <w:sz w:val="24"/>
          <w:szCs w:val="24"/>
        </w:rPr>
        <w:t xml:space="preserve">06 · Annual Upkeep</w:t>
      </w:r>
    </w:p>
    <w:p>
      <w:pPr>
        <w:spacing w:after="120"/>
      </w:pPr>
      <w:r>
        <w:rPr>
          <w:rFonts w:ascii="Calibri" w:cs="Calibri" w:eastAsia="Calibri" w:hAnsi="Calibri"/>
          <w:color w:val="060203"/>
          <w:sz w:val="22"/>
          <w:szCs w:val="22"/>
        </w:rPr>
        <w:t xml:space="preserve">Reassess yearly. Maintain SPRS score. Re-certify Level 2 every 3 years.</w:t>
      </w:r>
    </w:p>
    <w:p>
      <w:r>
        <w:br w:type="page"/>
      </w:r>
    </w:p>
    <w:p>
      <w:pPr>
        <w:pStyle w:val="Heading1"/>
        <w:spacing w:after="120" w:before="360"/>
      </w:pPr>
      <w:r>
        <w:rPr>
          <w:rFonts w:ascii="Calibri" w:cs="Calibri" w:eastAsia="Calibri" w:hAnsi="Calibri"/>
          <w:b/>
          <w:bCs/>
          <w:color w:val="FF5B14"/>
          <w:sz w:val="36"/>
          <w:szCs w:val="36"/>
        </w:rPr>
        <w:t xml:space="preserve">7. Common pitfalls</w:t>
      </w:r>
    </w:p>
    <w:p>
      <w:pPr>
        <w:pStyle w:val="Heading3"/>
        <w:spacing w:after="80" w:before="200"/>
      </w:pPr>
      <w:r>
        <w:rPr>
          <w:rFonts w:ascii="Calibri" w:cs="Calibri" w:eastAsia="Calibri" w:hAnsi="Calibri"/>
          <w:b/>
          <w:bCs/>
          <w:color w:val="060203"/>
          <w:sz w:val="24"/>
          <w:szCs w:val="24"/>
        </w:rPr>
        <w:t xml:space="preserve">Inflating your SPRS score</w:t>
      </w:r>
    </w:p>
    <w:p>
      <w:pPr>
        <w:spacing w:after="120"/>
      </w:pPr>
      <w:r>
        <w:rPr>
          <w:rFonts w:ascii="Calibri" w:cs="Calibri" w:eastAsia="Calibri" w:hAnsi="Calibri"/>
          <w:color w:val="060203"/>
          <w:sz w:val="22"/>
          <w:szCs w:val="22"/>
        </w:rPr>
        <w:t xml:space="preserve">Self-reported scores will be audited under -7020. A score that does not match reality becomes a False Claims Act exposure once a C3PAO confirms the gap.</w:t>
      </w:r>
    </w:p>
    <w:p>
      <w:pPr>
        <w:pStyle w:val="Heading3"/>
        <w:spacing w:after="80" w:before="200"/>
      </w:pPr>
      <w:r>
        <w:rPr>
          <w:rFonts w:ascii="Calibri" w:cs="Calibri" w:eastAsia="Calibri" w:hAnsi="Calibri"/>
          <w:b/>
          <w:bCs/>
          <w:color w:val="060203"/>
          <w:sz w:val="24"/>
          <w:szCs w:val="24"/>
        </w:rPr>
        <w:t xml:space="preserve">Treating Level 2 as a checklist</w:t>
      </w:r>
    </w:p>
    <w:p>
      <w:pPr>
        <w:spacing w:after="120"/>
      </w:pPr>
      <w:r>
        <w:rPr>
          <w:rFonts w:ascii="Calibri" w:cs="Calibri" w:eastAsia="Calibri" w:hAnsi="Calibri"/>
          <w:color w:val="060203"/>
          <w:sz w:val="22"/>
          <w:szCs w:val="22"/>
        </w:rPr>
        <w:t xml:space="preserve">Practices like MFA and FIPS-validated encryption cannot be POA&amp;M items. Critical gaps must be closed before the assessment.</w:t>
      </w:r>
    </w:p>
    <w:p>
      <w:pPr>
        <w:pStyle w:val="Heading3"/>
        <w:spacing w:after="80" w:before="200"/>
      </w:pPr>
      <w:r>
        <w:rPr>
          <w:rFonts w:ascii="Calibri" w:cs="Calibri" w:eastAsia="Calibri" w:hAnsi="Calibri"/>
          <w:b/>
          <w:bCs/>
          <w:color w:val="060203"/>
          <w:sz w:val="24"/>
          <w:szCs w:val="24"/>
        </w:rPr>
        <w:t xml:space="preserve">Ignoring subcontractor flow-down</w:t>
      </w:r>
    </w:p>
    <w:p>
      <w:pPr>
        <w:spacing w:after="120"/>
      </w:pPr>
      <w:r>
        <w:rPr>
          <w:rFonts w:ascii="Calibri" w:cs="Calibri" w:eastAsia="Calibri" w:hAnsi="Calibri"/>
          <w:color w:val="060203"/>
          <w:sz w:val="22"/>
          <w:szCs w:val="22"/>
        </w:rPr>
        <w:t xml:space="preserve">Primes must flow CMMC requirements to subs. A sub that cannot certify will be removed from the contract.</w:t>
      </w:r>
    </w:p>
    <w:p>
      <w:pPr>
        <w:pStyle w:val="Heading3"/>
        <w:spacing w:after="80" w:before="200"/>
      </w:pPr>
      <w:r>
        <w:rPr>
          <w:rFonts w:ascii="Calibri" w:cs="Calibri" w:eastAsia="Calibri" w:hAnsi="Calibri"/>
          <w:b/>
          <w:bCs/>
          <w:color w:val="060203"/>
          <w:sz w:val="24"/>
          <w:szCs w:val="24"/>
        </w:rPr>
        <w:t xml:space="preserve">Scoping the whole company when an enclave will do</w:t>
      </w:r>
    </w:p>
    <w:p>
      <w:pPr>
        <w:spacing w:after="120"/>
      </w:pPr>
      <w:r>
        <w:rPr>
          <w:rFonts w:ascii="Calibri" w:cs="Calibri" w:eastAsia="Calibri" w:hAnsi="Calibri"/>
          <w:color w:val="060203"/>
          <w:sz w:val="22"/>
          <w:szCs w:val="22"/>
        </w:rPr>
        <w:t xml:space="preserve">A bounded CUI enclave is typically the fastest, cheapest path to Level 2. Whole-company scoping is rarely required.</w:t>
      </w:r>
    </w:p>
    <w:p>
      <w:pPr>
        <w:pStyle w:val="Heading3"/>
        <w:spacing w:after="80" w:before="200"/>
      </w:pPr>
      <w:r>
        <w:rPr>
          <w:rFonts w:ascii="Calibri" w:cs="Calibri" w:eastAsia="Calibri" w:hAnsi="Calibri"/>
          <w:b/>
          <w:bCs/>
          <w:color w:val="060203"/>
          <w:sz w:val="24"/>
          <w:szCs w:val="24"/>
        </w:rPr>
        <w:t xml:space="preserve">Starting too late</w:t>
      </w:r>
    </w:p>
    <w:p>
      <w:pPr>
        <w:spacing w:after="120"/>
      </w:pPr>
      <w:r>
        <w:rPr>
          <w:rFonts w:ascii="Calibri" w:cs="Calibri" w:eastAsia="Calibri" w:hAnsi="Calibri"/>
          <w:color w:val="060203"/>
          <w:sz w:val="22"/>
          <w:szCs w:val="22"/>
        </w:rPr>
        <w:t xml:space="preserve">Readiness for a contractor starting from scratch is usually 12–18 months. Waiting until the clause hits the solicitation is too late.</w:t>
      </w:r>
    </w:p>
    <w:p>
      <w:r>
        <w:br w:type="page"/>
      </w:r>
    </w:p>
    <w:p>
      <w:pPr>
        <w:pStyle w:val="Heading1"/>
        <w:spacing w:after="120" w:before="360"/>
      </w:pPr>
      <w:r>
        <w:rPr>
          <w:rFonts w:ascii="Calibri" w:cs="Calibri" w:eastAsia="Calibri" w:hAnsi="Calibri"/>
          <w:b/>
          <w:bCs/>
          <w:color w:val="FF5B14"/>
          <w:sz w:val="36"/>
          <w:szCs w:val="36"/>
        </w:rPr>
        <w:t xml:space="preserve">8. Next steps</w:t>
      </w:r>
    </w:p>
    <w:p>
      <w:pPr>
        <w:pStyle w:val="Heading3"/>
        <w:spacing w:after="80" w:before="200"/>
      </w:pPr>
      <w:r>
        <w:rPr>
          <w:rFonts w:ascii="Calibri" w:cs="Calibri" w:eastAsia="Calibri" w:hAnsi="Calibri"/>
          <w:b/>
          <w:bCs/>
          <w:color w:val="060203"/>
          <w:sz w:val="24"/>
          <w:szCs w:val="24"/>
        </w:rPr>
        <w:t xml:space="preserve">01 · CMMC Scoping Call</w:t>
      </w:r>
    </w:p>
    <w:p>
      <w:pPr>
        <w:spacing w:after="120"/>
      </w:pPr>
      <w:r>
        <w:rPr>
          <w:rFonts w:ascii="Calibri" w:cs="Calibri" w:eastAsia="Calibri" w:hAnsi="Calibri"/>
          <w:color w:val="060203"/>
          <w:sz w:val="22"/>
          <w:szCs w:val="22"/>
        </w:rPr>
        <w:t xml:space="preserve">Free 30-minute call. We confirm the level you need, the contracts in play, and whether BRITECITY is a fit (Level 1 or Level 2) or whether you need a referral (Level 3).</w:t>
      </w:r>
    </w:p>
    <w:p>
      <w:pPr>
        <w:pStyle w:val="Heading3"/>
        <w:spacing w:after="80" w:before="200"/>
      </w:pPr>
      <w:r>
        <w:rPr>
          <w:rFonts w:ascii="Calibri" w:cs="Calibri" w:eastAsia="Calibri" w:hAnsi="Calibri"/>
          <w:b/>
          <w:bCs/>
          <w:color w:val="060203"/>
          <w:sz w:val="24"/>
          <w:szCs w:val="24"/>
        </w:rPr>
        <w:t xml:space="preserve">02 · Paid Readiness Assessment</w:t>
      </w:r>
    </w:p>
    <w:p>
      <w:pPr>
        <w:spacing w:after="120"/>
      </w:pPr>
      <w:r>
        <w:rPr>
          <w:rFonts w:ascii="Calibri" w:cs="Calibri" w:eastAsia="Calibri" w:hAnsi="Calibri"/>
          <w:color w:val="060203"/>
          <w:sz w:val="22"/>
          <w:szCs w:val="22"/>
        </w:rPr>
        <w:t xml:space="preserve">Fixed-fee engagement. We document your current SPRS score, scope the CUI environment, and produce a written remediation plan with effort and timeline.</w:t>
      </w:r>
    </w:p>
    <w:p>
      <w:pPr>
        <w:pStyle w:val="Heading3"/>
        <w:spacing w:after="80" w:before="200"/>
      </w:pPr>
      <w:r>
        <w:rPr>
          <w:rFonts w:ascii="Calibri" w:cs="Calibri" w:eastAsia="Calibri" w:hAnsi="Calibri"/>
          <w:b/>
          <w:bCs/>
          <w:color w:val="060203"/>
          <w:sz w:val="24"/>
          <w:szCs w:val="24"/>
        </w:rPr>
        <w:t xml:space="preserve">03 · Remediation Engagement</w:t>
      </w:r>
    </w:p>
    <w:p>
      <w:pPr>
        <w:spacing w:after="120"/>
      </w:pPr>
      <w:r>
        <w:rPr>
          <w:rFonts w:ascii="Calibri" w:cs="Calibri" w:eastAsia="Calibri" w:hAnsi="Calibri"/>
          <w:color w:val="060203"/>
          <w:sz w:val="22"/>
          <w:szCs w:val="22"/>
        </w:rPr>
        <w:t xml:space="preserve">Billable IT engagement at our standard rate. Level 1 = scoped project. Level 2 = co-delivered with the 3rd-party assessor.</w:t>
      </w:r>
    </w:p>
    <w:p>
      <w:pPr>
        <w:pStyle w:val="Heading3"/>
        <w:spacing w:after="80" w:before="200"/>
      </w:pPr>
      <w:r>
        <w:rPr>
          <w:rFonts w:ascii="Calibri" w:cs="Calibri" w:eastAsia="Calibri" w:hAnsi="Calibri"/>
          <w:b/>
          <w:bCs/>
          <w:color w:val="060203"/>
          <w:sz w:val="24"/>
          <w:szCs w:val="24"/>
        </w:rPr>
        <w:t xml:space="preserve">04 · Assessment &amp; Certification</w:t>
      </w:r>
    </w:p>
    <w:p>
      <w:pPr>
        <w:spacing w:after="120"/>
      </w:pPr>
      <w:r>
        <w:rPr>
          <w:rFonts w:ascii="Calibri" w:cs="Calibri" w:eastAsia="Calibri" w:hAnsi="Calibri"/>
          <w:color w:val="060203"/>
          <w:sz w:val="22"/>
          <w:szCs w:val="22"/>
        </w:rPr>
        <w:t xml:space="preserve">Level 1 self-attestation submitted to SPRS, or C3PAO assessment scheduled and supported through award.</w:t>
      </w:r>
    </w:p>
    <w:p>
      <w:pPr>
        <w:pBdr>
          <w:left w:val="single" w:color="FF5B14" w:sz="16" w:space="12"/>
        </w:pBdr>
        <w:shd w:fill="FFF6F0" w:color="FFF6F0" w:val="solid"/>
        <w:spacing w:after="200" w:before="120"/>
        <w:ind w:left="200"/>
      </w:pPr>
      <w:r>
        <w:rPr>
          <w:rFonts w:ascii="Calibri" w:cs="Calibri" w:eastAsia="Calibri" w:hAnsi="Calibri"/>
          <w:i/>
          <w:iCs/>
          <w:color w:val="060203"/>
          <w:sz w:val="22"/>
          <w:szCs w:val="22"/>
        </w:rPr>
        <w:t xml:space="preserve">Book a CMMC scoping call: britecity.com/book-a-call — 30 minutes, free, no commitment.</w:t>
      </w:r>
    </w:p>
    <w:p>
      <w:r>
        <w:br w:type="page"/>
      </w:r>
    </w:p>
    <w:p>
      <w:pPr>
        <w:pStyle w:val="Heading1"/>
        <w:spacing w:after="120" w:before="360"/>
      </w:pPr>
      <w:r>
        <w:rPr>
          <w:rFonts w:ascii="Calibri" w:cs="Calibri" w:eastAsia="Calibri" w:hAnsi="Calibri"/>
          <w:b/>
          <w:bCs/>
          <w:color w:val="FF5B14"/>
          <w:sz w:val="36"/>
          <w:szCs w:val="36"/>
        </w:rPr>
        <w:t xml:space="preserve">Appendix A — Level 1 Domains (FCI, 17 practices)</w:t>
      </w:r>
    </w:p>
    <w:p>
      <w:pPr>
        <w:pStyle w:val="ListParagraph"/>
        <w:numPr>
          <w:ilvl w:val="0"/>
          <w:numId w:val="1"/>
        </w:numPr>
        <w:spacing w:after="80"/>
      </w:pPr>
      <w:r>
        <w:rPr>
          <w:rFonts w:ascii="Calibri" w:cs="Calibri" w:eastAsia="Calibri" w:hAnsi="Calibri"/>
          <w:color w:val="060203"/>
          <w:sz w:val="22"/>
          <w:szCs w:val="22"/>
        </w:rPr>
        <w:t xml:space="preserve">Access Control (AC)</w:t>
      </w:r>
    </w:p>
    <w:p>
      <w:pPr>
        <w:pStyle w:val="ListParagraph"/>
        <w:numPr>
          <w:ilvl w:val="0"/>
          <w:numId w:val="1"/>
        </w:numPr>
        <w:spacing w:after="80"/>
      </w:pPr>
      <w:r>
        <w:rPr>
          <w:rFonts w:ascii="Calibri" w:cs="Calibri" w:eastAsia="Calibri" w:hAnsi="Calibri"/>
          <w:color w:val="060203"/>
          <w:sz w:val="22"/>
          <w:szCs w:val="22"/>
        </w:rPr>
        <w:t xml:space="preserve">Identification &amp; Authentication (IA)</w:t>
      </w:r>
    </w:p>
    <w:p>
      <w:pPr>
        <w:pStyle w:val="ListParagraph"/>
        <w:numPr>
          <w:ilvl w:val="0"/>
          <w:numId w:val="1"/>
        </w:numPr>
        <w:spacing w:after="80"/>
      </w:pPr>
      <w:r>
        <w:rPr>
          <w:rFonts w:ascii="Calibri" w:cs="Calibri" w:eastAsia="Calibri" w:hAnsi="Calibri"/>
          <w:color w:val="060203"/>
          <w:sz w:val="22"/>
          <w:szCs w:val="22"/>
        </w:rPr>
        <w:t xml:space="preserve">Media Protection (MP)</w:t>
      </w:r>
    </w:p>
    <w:p>
      <w:pPr>
        <w:pStyle w:val="ListParagraph"/>
        <w:numPr>
          <w:ilvl w:val="0"/>
          <w:numId w:val="1"/>
        </w:numPr>
        <w:spacing w:after="80"/>
      </w:pPr>
      <w:r>
        <w:rPr>
          <w:rFonts w:ascii="Calibri" w:cs="Calibri" w:eastAsia="Calibri" w:hAnsi="Calibri"/>
          <w:color w:val="060203"/>
          <w:sz w:val="22"/>
          <w:szCs w:val="22"/>
        </w:rPr>
        <w:t xml:space="preserve">Physical Protection (PE)</w:t>
      </w:r>
    </w:p>
    <w:p>
      <w:pPr>
        <w:pStyle w:val="ListParagraph"/>
        <w:numPr>
          <w:ilvl w:val="0"/>
          <w:numId w:val="1"/>
        </w:numPr>
        <w:spacing w:after="80"/>
      </w:pPr>
      <w:r>
        <w:rPr>
          <w:rFonts w:ascii="Calibri" w:cs="Calibri" w:eastAsia="Calibri" w:hAnsi="Calibri"/>
          <w:color w:val="060203"/>
          <w:sz w:val="22"/>
          <w:szCs w:val="22"/>
        </w:rPr>
        <w:t xml:space="preserve">System &amp; Communications Protection (SC)</w:t>
      </w:r>
    </w:p>
    <w:p>
      <w:pPr>
        <w:pStyle w:val="ListParagraph"/>
        <w:numPr>
          <w:ilvl w:val="0"/>
          <w:numId w:val="1"/>
        </w:numPr>
        <w:spacing w:after="80"/>
      </w:pPr>
      <w:r>
        <w:rPr>
          <w:rFonts w:ascii="Calibri" w:cs="Calibri" w:eastAsia="Calibri" w:hAnsi="Calibri"/>
          <w:color w:val="060203"/>
          <w:sz w:val="22"/>
          <w:szCs w:val="22"/>
        </w:rPr>
        <w:t xml:space="preserve">System &amp; Information Integrity (SI)</w:t>
      </w:r>
    </w:p>
    <w:p>
      <w:r>
        <w:br w:type="page"/>
      </w:r>
    </w:p>
    <w:p>
      <w:pPr>
        <w:pStyle w:val="Heading1"/>
        <w:spacing w:after="120" w:before="360"/>
      </w:pPr>
      <w:r>
        <w:rPr>
          <w:rFonts w:ascii="Calibri" w:cs="Calibri" w:eastAsia="Calibri" w:hAnsi="Calibri"/>
          <w:b/>
          <w:bCs/>
          <w:color w:val="FF5B14"/>
          <w:sz w:val="36"/>
          <w:szCs w:val="36"/>
        </w:rPr>
        <w:t xml:space="preserve">Appendix B — Level 2 Domains (NIST 800-171, 110 practices)</w:t>
      </w:r>
    </w:p>
    <w:p>
      <w:pPr>
        <w:pStyle w:val="ListParagraph"/>
        <w:numPr>
          <w:ilvl w:val="0"/>
          <w:numId w:val="1"/>
        </w:numPr>
        <w:spacing w:after="80"/>
      </w:pPr>
      <w:r>
        <w:rPr>
          <w:rFonts w:ascii="Calibri" w:cs="Calibri" w:eastAsia="Calibri" w:hAnsi="Calibri"/>
          <w:color w:val="060203"/>
          <w:sz w:val="22"/>
          <w:szCs w:val="22"/>
        </w:rPr>
        <w:t xml:space="preserve">Access Control (AC) — 22 practices</w:t>
      </w:r>
    </w:p>
    <w:p>
      <w:pPr>
        <w:pStyle w:val="ListParagraph"/>
        <w:numPr>
          <w:ilvl w:val="0"/>
          <w:numId w:val="1"/>
        </w:numPr>
        <w:spacing w:after="80"/>
      </w:pPr>
      <w:r>
        <w:rPr>
          <w:rFonts w:ascii="Calibri" w:cs="Calibri" w:eastAsia="Calibri" w:hAnsi="Calibri"/>
          <w:color w:val="060203"/>
          <w:sz w:val="22"/>
          <w:szCs w:val="22"/>
        </w:rPr>
        <w:t xml:space="preserve">Awareness &amp; Training (AT) — 3 practices</w:t>
      </w:r>
    </w:p>
    <w:p>
      <w:pPr>
        <w:pStyle w:val="ListParagraph"/>
        <w:numPr>
          <w:ilvl w:val="0"/>
          <w:numId w:val="1"/>
        </w:numPr>
        <w:spacing w:after="80"/>
      </w:pPr>
      <w:r>
        <w:rPr>
          <w:rFonts w:ascii="Calibri" w:cs="Calibri" w:eastAsia="Calibri" w:hAnsi="Calibri"/>
          <w:color w:val="060203"/>
          <w:sz w:val="22"/>
          <w:szCs w:val="22"/>
        </w:rPr>
        <w:t xml:space="preserve">Audit &amp; Accountability (AU) — 9 practices</w:t>
      </w:r>
    </w:p>
    <w:p>
      <w:pPr>
        <w:pStyle w:val="ListParagraph"/>
        <w:numPr>
          <w:ilvl w:val="0"/>
          <w:numId w:val="1"/>
        </w:numPr>
        <w:spacing w:after="80"/>
      </w:pPr>
      <w:r>
        <w:rPr>
          <w:rFonts w:ascii="Calibri" w:cs="Calibri" w:eastAsia="Calibri" w:hAnsi="Calibri"/>
          <w:color w:val="060203"/>
          <w:sz w:val="22"/>
          <w:szCs w:val="22"/>
        </w:rPr>
        <w:t xml:space="preserve">Configuration Management (CM) — 9 practices</w:t>
      </w:r>
    </w:p>
    <w:p>
      <w:pPr>
        <w:pStyle w:val="ListParagraph"/>
        <w:numPr>
          <w:ilvl w:val="0"/>
          <w:numId w:val="1"/>
        </w:numPr>
        <w:spacing w:after="80"/>
      </w:pPr>
      <w:r>
        <w:rPr>
          <w:rFonts w:ascii="Calibri" w:cs="Calibri" w:eastAsia="Calibri" w:hAnsi="Calibri"/>
          <w:color w:val="060203"/>
          <w:sz w:val="22"/>
          <w:szCs w:val="22"/>
        </w:rPr>
        <w:t xml:space="preserve">Identification &amp; Authentication (IA) — 11 practices</w:t>
      </w:r>
    </w:p>
    <w:p>
      <w:pPr>
        <w:pStyle w:val="ListParagraph"/>
        <w:numPr>
          <w:ilvl w:val="0"/>
          <w:numId w:val="1"/>
        </w:numPr>
        <w:spacing w:after="80"/>
      </w:pPr>
      <w:r>
        <w:rPr>
          <w:rFonts w:ascii="Calibri" w:cs="Calibri" w:eastAsia="Calibri" w:hAnsi="Calibri"/>
          <w:color w:val="060203"/>
          <w:sz w:val="22"/>
          <w:szCs w:val="22"/>
        </w:rPr>
        <w:t xml:space="preserve">Incident Response (IR) — 3 practices</w:t>
      </w:r>
    </w:p>
    <w:p>
      <w:pPr>
        <w:pStyle w:val="ListParagraph"/>
        <w:numPr>
          <w:ilvl w:val="0"/>
          <w:numId w:val="1"/>
        </w:numPr>
        <w:spacing w:after="80"/>
      </w:pPr>
      <w:r>
        <w:rPr>
          <w:rFonts w:ascii="Calibri" w:cs="Calibri" w:eastAsia="Calibri" w:hAnsi="Calibri"/>
          <w:color w:val="060203"/>
          <w:sz w:val="22"/>
          <w:szCs w:val="22"/>
        </w:rPr>
        <w:t xml:space="preserve">Maintenance (MA) — 6 practices</w:t>
      </w:r>
    </w:p>
    <w:p>
      <w:pPr>
        <w:pStyle w:val="ListParagraph"/>
        <w:numPr>
          <w:ilvl w:val="0"/>
          <w:numId w:val="1"/>
        </w:numPr>
        <w:spacing w:after="80"/>
      </w:pPr>
      <w:r>
        <w:rPr>
          <w:rFonts w:ascii="Calibri" w:cs="Calibri" w:eastAsia="Calibri" w:hAnsi="Calibri"/>
          <w:color w:val="060203"/>
          <w:sz w:val="22"/>
          <w:szCs w:val="22"/>
        </w:rPr>
        <w:t xml:space="preserve">Media Protection (MP) — 9 practices</w:t>
      </w:r>
    </w:p>
    <w:p>
      <w:pPr>
        <w:pStyle w:val="ListParagraph"/>
        <w:numPr>
          <w:ilvl w:val="0"/>
          <w:numId w:val="1"/>
        </w:numPr>
        <w:spacing w:after="80"/>
      </w:pPr>
      <w:r>
        <w:rPr>
          <w:rFonts w:ascii="Calibri" w:cs="Calibri" w:eastAsia="Calibri" w:hAnsi="Calibri"/>
          <w:color w:val="060203"/>
          <w:sz w:val="22"/>
          <w:szCs w:val="22"/>
        </w:rPr>
        <w:t xml:space="preserve">Personnel Security (PS) — 2 practices</w:t>
      </w:r>
    </w:p>
    <w:p>
      <w:pPr>
        <w:pStyle w:val="ListParagraph"/>
        <w:numPr>
          <w:ilvl w:val="0"/>
          <w:numId w:val="1"/>
        </w:numPr>
        <w:spacing w:after="80"/>
      </w:pPr>
      <w:r>
        <w:rPr>
          <w:rFonts w:ascii="Calibri" w:cs="Calibri" w:eastAsia="Calibri" w:hAnsi="Calibri"/>
          <w:color w:val="060203"/>
          <w:sz w:val="22"/>
          <w:szCs w:val="22"/>
        </w:rPr>
        <w:t xml:space="preserve">Physical Protection (PE) — 6 practices</w:t>
      </w:r>
    </w:p>
    <w:p>
      <w:pPr>
        <w:pStyle w:val="ListParagraph"/>
        <w:numPr>
          <w:ilvl w:val="0"/>
          <w:numId w:val="1"/>
        </w:numPr>
        <w:spacing w:after="80"/>
      </w:pPr>
      <w:r>
        <w:rPr>
          <w:rFonts w:ascii="Calibri" w:cs="Calibri" w:eastAsia="Calibri" w:hAnsi="Calibri"/>
          <w:color w:val="060203"/>
          <w:sz w:val="22"/>
          <w:szCs w:val="22"/>
        </w:rPr>
        <w:t xml:space="preserve">Risk Assessment (RA) — 3 practices</w:t>
      </w:r>
    </w:p>
    <w:p>
      <w:pPr>
        <w:pStyle w:val="ListParagraph"/>
        <w:numPr>
          <w:ilvl w:val="0"/>
          <w:numId w:val="1"/>
        </w:numPr>
        <w:spacing w:after="80"/>
      </w:pPr>
      <w:r>
        <w:rPr>
          <w:rFonts w:ascii="Calibri" w:cs="Calibri" w:eastAsia="Calibri" w:hAnsi="Calibri"/>
          <w:color w:val="060203"/>
          <w:sz w:val="22"/>
          <w:szCs w:val="22"/>
        </w:rPr>
        <w:t xml:space="preserve">Security Assessment (CA) — 4 practices</w:t>
      </w:r>
    </w:p>
    <w:p>
      <w:pPr>
        <w:pStyle w:val="ListParagraph"/>
        <w:numPr>
          <w:ilvl w:val="0"/>
          <w:numId w:val="1"/>
        </w:numPr>
        <w:spacing w:after="80"/>
      </w:pPr>
      <w:r>
        <w:rPr>
          <w:rFonts w:ascii="Calibri" w:cs="Calibri" w:eastAsia="Calibri" w:hAnsi="Calibri"/>
          <w:color w:val="060203"/>
          <w:sz w:val="22"/>
          <w:szCs w:val="22"/>
        </w:rPr>
        <w:t xml:space="preserve">System &amp; Communications Protection (SC) — 16 practices</w:t>
      </w:r>
    </w:p>
    <w:p>
      <w:pPr>
        <w:pStyle w:val="ListParagraph"/>
        <w:numPr>
          <w:ilvl w:val="0"/>
          <w:numId w:val="1"/>
        </w:numPr>
        <w:spacing w:after="80"/>
      </w:pPr>
      <w:r>
        <w:rPr>
          <w:rFonts w:ascii="Calibri" w:cs="Calibri" w:eastAsia="Calibri" w:hAnsi="Calibri"/>
          <w:color w:val="060203"/>
          <w:sz w:val="22"/>
          <w:szCs w:val="22"/>
        </w:rPr>
        <w:t xml:space="preserve">System &amp; Information Integrity (SI) — 7 practices</w:t>
      </w:r>
    </w:p>
    <w:p>
      <w:r>
        <w:br w:type="page"/>
      </w:r>
    </w:p>
    <w:p>
      <w:pPr>
        <w:pStyle w:val="Heading1"/>
        <w:spacing w:after="120" w:before="360"/>
      </w:pPr>
      <w:r>
        <w:rPr>
          <w:rFonts w:ascii="Calibri" w:cs="Calibri" w:eastAsia="Calibri" w:hAnsi="Calibri"/>
          <w:b/>
          <w:bCs/>
          <w:color w:val="FF5B14"/>
          <w:sz w:val="36"/>
          <w:szCs w:val="36"/>
        </w:rPr>
        <w:t xml:space="preserve">Appendix C — Glossary</w:t>
      </w:r>
    </w:p>
    <w:p>
      <w:pPr>
        <w:spacing w:after="100"/>
      </w:pPr>
      <w:r>
        <w:rPr>
          <w:rFonts w:ascii="Calibri" w:cs="Calibri" w:eastAsia="Calibri" w:hAnsi="Calibri"/>
          <w:b/>
          <w:bCs/>
          <w:color w:val="FF5B14"/>
          <w:sz w:val="22"/>
          <w:szCs w:val="22"/>
        </w:rPr>
        <w:t xml:space="preserve">FCI. </w:t>
      </w:r>
      <w:r>
        <w:rPr>
          <w:rFonts w:ascii="Calibri" w:cs="Calibri" w:eastAsia="Calibri" w:hAnsi="Calibri"/>
          <w:color w:val="060203"/>
          <w:sz w:val="22"/>
          <w:szCs w:val="22"/>
        </w:rPr>
        <w:t xml:space="preserve">Federal Contract Information — non-public information provided by or generated for the government under contract.</w:t>
      </w:r>
    </w:p>
    <w:p>
      <w:pPr>
        <w:spacing w:after="100"/>
      </w:pPr>
      <w:r>
        <w:rPr>
          <w:rFonts w:ascii="Calibri" w:cs="Calibri" w:eastAsia="Calibri" w:hAnsi="Calibri"/>
          <w:b/>
          <w:bCs/>
          <w:color w:val="FF5B14"/>
          <w:sz w:val="22"/>
          <w:szCs w:val="22"/>
        </w:rPr>
        <w:t xml:space="preserve">CUI. </w:t>
      </w:r>
      <w:r>
        <w:rPr>
          <w:rFonts w:ascii="Calibri" w:cs="Calibri" w:eastAsia="Calibri" w:hAnsi="Calibri"/>
          <w:color w:val="060203"/>
          <w:sz w:val="22"/>
          <w:szCs w:val="22"/>
        </w:rPr>
        <w:t xml:space="preserve">Controlled Unclassified Information — sensitive but unclassified data marked for protection (engineering drawings, technical data, ITAR material, etc.).</w:t>
      </w:r>
    </w:p>
    <w:p>
      <w:pPr>
        <w:spacing w:after="100"/>
      </w:pPr>
      <w:r>
        <w:rPr>
          <w:rFonts w:ascii="Calibri" w:cs="Calibri" w:eastAsia="Calibri" w:hAnsi="Calibri"/>
          <w:b/>
          <w:bCs/>
          <w:color w:val="FF5B14"/>
          <w:sz w:val="22"/>
          <w:szCs w:val="22"/>
        </w:rPr>
        <w:t xml:space="preserve">CMMC. </w:t>
      </w:r>
      <w:r>
        <w:rPr>
          <w:rFonts w:ascii="Calibri" w:cs="Calibri" w:eastAsia="Calibri" w:hAnsi="Calibri"/>
          <w:color w:val="060203"/>
          <w:sz w:val="22"/>
          <w:szCs w:val="22"/>
        </w:rPr>
        <w:t xml:space="preserve">Cybersecurity Maturity Model Certification — DoD framework codified in 32 CFR Part 170.</w:t>
      </w:r>
    </w:p>
    <w:p>
      <w:pPr>
        <w:spacing w:after="100"/>
      </w:pPr>
      <w:r>
        <w:rPr>
          <w:rFonts w:ascii="Calibri" w:cs="Calibri" w:eastAsia="Calibri" w:hAnsi="Calibri"/>
          <w:b/>
          <w:bCs/>
          <w:color w:val="FF5B14"/>
          <w:sz w:val="22"/>
          <w:szCs w:val="22"/>
        </w:rPr>
        <w:t xml:space="preserve">C3PAO. </w:t>
      </w:r>
      <w:r>
        <w:rPr>
          <w:rFonts w:ascii="Calibri" w:cs="Calibri" w:eastAsia="Calibri" w:hAnsi="Calibri"/>
          <w:color w:val="060203"/>
          <w:sz w:val="22"/>
          <w:szCs w:val="22"/>
        </w:rPr>
        <w:t xml:space="preserve">CMMC Third-Party Assessment Organization — accredited by the Cyber AB to perform Level 2 assessments.</w:t>
      </w:r>
    </w:p>
    <w:p>
      <w:pPr>
        <w:spacing w:after="100"/>
      </w:pPr>
      <w:r>
        <w:rPr>
          <w:rFonts w:ascii="Calibri" w:cs="Calibri" w:eastAsia="Calibri" w:hAnsi="Calibri"/>
          <w:b/>
          <w:bCs/>
          <w:color w:val="FF5B14"/>
          <w:sz w:val="22"/>
          <w:szCs w:val="22"/>
        </w:rPr>
        <w:t xml:space="preserve">RPO. </w:t>
      </w:r>
      <w:r>
        <w:rPr>
          <w:rFonts w:ascii="Calibri" w:cs="Calibri" w:eastAsia="Calibri" w:hAnsi="Calibri"/>
          <w:color w:val="060203"/>
          <w:sz w:val="22"/>
          <w:szCs w:val="22"/>
        </w:rPr>
        <w:t xml:space="preserve">Registered Provider Organization — accredited by the Cyber AB to advise contractors on CMMC readiness (cannot perform their own assessments).</w:t>
      </w:r>
    </w:p>
    <w:p>
      <w:pPr>
        <w:spacing w:after="100"/>
      </w:pPr>
      <w:r>
        <w:rPr>
          <w:rFonts w:ascii="Calibri" w:cs="Calibri" w:eastAsia="Calibri" w:hAnsi="Calibri"/>
          <w:b/>
          <w:bCs/>
          <w:color w:val="FF5B14"/>
          <w:sz w:val="22"/>
          <w:szCs w:val="22"/>
        </w:rPr>
        <w:t xml:space="preserve">DIBCAC. </w:t>
      </w:r>
      <w:r>
        <w:rPr>
          <w:rFonts w:ascii="Calibri" w:cs="Calibri" w:eastAsia="Calibri" w:hAnsi="Calibri"/>
          <w:color w:val="060203"/>
          <w:sz w:val="22"/>
          <w:szCs w:val="22"/>
        </w:rPr>
        <w:t xml:space="preserve">Defense Industrial Base Cybersecurity Assessment Center — performs Level 3 assessments and high-tier verifications.</w:t>
      </w:r>
    </w:p>
    <w:p>
      <w:pPr>
        <w:spacing w:after="100"/>
      </w:pPr>
      <w:r>
        <w:rPr>
          <w:rFonts w:ascii="Calibri" w:cs="Calibri" w:eastAsia="Calibri" w:hAnsi="Calibri"/>
          <w:b/>
          <w:bCs/>
          <w:color w:val="FF5B14"/>
          <w:sz w:val="22"/>
          <w:szCs w:val="22"/>
        </w:rPr>
        <w:t xml:space="preserve">SSP. </w:t>
      </w:r>
      <w:r>
        <w:rPr>
          <w:rFonts w:ascii="Calibri" w:cs="Calibri" w:eastAsia="Calibri" w:hAnsi="Calibri"/>
          <w:color w:val="060203"/>
          <w:sz w:val="22"/>
          <w:szCs w:val="22"/>
        </w:rPr>
        <w:t xml:space="preserve">System Security Plan — required written document describing how each practice is implemented in your environment.</w:t>
      </w:r>
    </w:p>
    <w:p>
      <w:pPr>
        <w:spacing w:after="100"/>
      </w:pPr>
      <w:r>
        <w:rPr>
          <w:rFonts w:ascii="Calibri" w:cs="Calibri" w:eastAsia="Calibri" w:hAnsi="Calibri"/>
          <w:b/>
          <w:bCs/>
          <w:color w:val="FF5B14"/>
          <w:sz w:val="22"/>
          <w:szCs w:val="22"/>
        </w:rPr>
        <w:t xml:space="preserve">POA&amp;M. </w:t>
      </w:r>
      <w:r>
        <w:rPr>
          <w:rFonts w:ascii="Calibri" w:cs="Calibri" w:eastAsia="Calibri" w:hAnsi="Calibri"/>
          <w:color w:val="060203"/>
          <w:sz w:val="22"/>
          <w:szCs w:val="22"/>
        </w:rPr>
        <w:t xml:space="preserve">Plan of Action &amp; Milestones — tracked list of open security gaps with remediation deadlines (180-day window for Level 2).</w:t>
      </w:r>
    </w:p>
    <w:p>
      <w:pPr>
        <w:spacing w:after="100"/>
      </w:pPr>
      <w:r>
        <w:rPr>
          <w:rFonts w:ascii="Calibri" w:cs="Calibri" w:eastAsia="Calibri" w:hAnsi="Calibri"/>
          <w:b/>
          <w:bCs/>
          <w:color w:val="FF5B14"/>
          <w:sz w:val="22"/>
          <w:szCs w:val="22"/>
        </w:rPr>
        <w:t xml:space="preserve">SPRS. </w:t>
      </w:r>
      <w:r>
        <w:rPr>
          <w:rFonts w:ascii="Calibri" w:cs="Calibri" w:eastAsia="Calibri" w:hAnsi="Calibri"/>
          <w:color w:val="060203"/>
          <w:sz w:val="22"/>
          <w:szCs w:val="22"/>
        </w:rPr>
        <w:t xml:space="preserve">Supplier Performance Risk System — DoD portal where NIST SP 800-171 self-assessment scores are submitted.</w:t>
      </w:r>
    </w:p>
    <w:p>
      <w:pPr>
        <w:spacing w:after="100"/>
      </w:pPr>
      <w:r>
        <w:rPr>
          <w:rFonts w:ascii="Calibri" w:cs="Calibri" w:eastAsia="Calibri" w:hAnsi="Calibri"/>
          <w:b/>
          <w:bCs/>
          <w:color w:val="FF5B14"/>
          <w:sz w:val="22"/>
          <w:szCs w:val="22"/>
        </w:rPr>
        <w:t xml:space="preserve">Cyber AB. </w:t>
      </w:r>
      <w:r>
        <w:rPr>
          <w:rFonts w:ascii="Calibri" w:cs="Calibri" w:eastAsia="Calibri" w:hAnsi="Calibri"/>
          <w:color w:val="060203"/>
          <w:sz w:val="22"/>
          <w:szCs w:val="22"/>
        </w:rPr>
        <w:t xml:space="preserve">CMMC Accreditation Body — non-profit that authorizes C3PAOs and RPOs.</w:t>
      </w:r>
    </w:p>
    <w:p>
      <w:r>
        <w:br w:type="page"/>
      </w:r>
    </w:p>
    <w:p>
      <w:pPr>
        <w:pStyle w:val="Heading1"/>
        <w:spacing w:after="120" w:before="360"/>
      </w:pPr>
      <w:r>
        <w:rPr>
          <w:rFonts w:ascii="Calibri" w:cs="Calibri" w:eastAsia="Calibri" w:hAnsi="Calibri"/>
          <w:b/>
          <w:bCs/>
          <w:color w:val="FF5B14"/>
          <w:sz w:val="36"/>
          <w:szCs w:val="36"/>
        </w:rPr>
        <w:t xml:space="preserve">Scope acknowledgement</w:t>
      </w:r>
    </w:p>
    <w:p>
      <w:pPr>
        <w:spacing w:after="120"/>
      </w:pPr>
      <w:r>
        <w:rPr>
          <w:rFonts w:ascii="Calibri" w:cs="Calibri" w:eastAsia="Calibri" w:hAnsi="Calibri"/>
          <w:i/>
          <w:iCs/>
          <w:color w:val="060203"/>
          <w:sz w:val="18"/>
          <w:szCs w:val="18"/>
        </w:rPr>
        <w:t xml:space="preserve">This page is a working alignment tool — not a contract. Signing it confirms that the client and BRITECITY have read the walkthrough together and agree on the level being pursued and the role each party will play. The actual statement of work, fees, and deliverables are set in a separate engagement letter.</w:t>
      </w:r>
    </w:p>
    <w:p>
      <w:pPr>
        <w:spacing w:before="400"/>
      </w:pPr>
    </w:p>
    <w:p>
      <w:pPr>
        <w:spacing w:after="120"/>
      </w:pPr>
      <w:r>
        <w:rPr>
          <w:rFonts w:ascii="Calibri" w:cs="Calibri" w:eastAsia="Calibri" w:hAnsi="Calibri"/>
          <w:color w:val="060203"/>
          <w:sz w:val="22"/>
          <w:szCs w:val="22"/>
        </w:rPr>
        <w:t xml:space="preserve">CMMC level being pursued (circle one):    Level 1    /    Level 2    /    Level 3 (referral)</w:t>
      </w:r>
    </w:p>
    <w:p>
      <w:pPr>
        <w:spacing w:before="400"/>
      </w:pPr>
    </w:p>
    <w:p>
      <w:pPr>
        <w:spacing w:after="120"/>
      </w:pPr>
      <w:r>
        <w:rPr>
          <w:rFonts w:ascii="Calibri" w:cs="Calibri" w:eastAsia="Calibri" w:hAnsi="Calibri"/>
          <w:color w:val="060203"/>
          <w:sz w:val="22"/>
          <w:szCs w:val="22"/>
        </w:rPr>
        <w:t xml:space="preserve">Client representative: _____________________________________________</w:t>
      </w:r>
    </w:p>
    <w:p>
      <w:pPr>
        <w:spacing w:after="120"/>
      </w:pPr>
      <w:r>
        <w:rPr>
          <w:rFonts w:ascii="Calibri" w:cs="Calibri" w:eastAsia="Calibri" w:hAnsi="Calibri"/>
          <w:color w:val="060203"/>
          <w:sz w:val="22"/>
          <w:szCs w:val="22"/>
        </w:rPr>
        <w:t xml:space="preserve">Title:  _____________________________________________  Date:  ______________</w:t>
      </w:r>
    </w:p>
    <w:p>
      <w:pPr>
        <w:spacing w:before="400"/>
      </w:pPr>
    </w:p>
    <w:p>
      <w:pPr>
        <w:spacing w:after="120"/>
      </w:pPr>
      <w:r>
        <w:rPr>
          <w:rFonts w:ascii="Calibri" w:cs="Calibri" w:eastAsia="Calibri" w:hAnsi="Calibri"/>
          <w:color w:val="060203"/>
          <w:sz w:val="22"/>
          <w:szCs w:val="22"/>
        </w:rPr>
        <w:t xml:space="preserve">BRITECITY representative: __________________________________________</w:t>
      </w:r>
    </w:p>
    <w:p>
      <w:pPr>
        <w:spacing w:after="120"/>
      </w:pPr>
      <w:r>
        <w:rPr>
          <w:rFonts w:ascii="Calibri" w:cs="Calibri" w:eastAsia="Calibri" w:hAnsi="Calibri"/>
          <w:color w:val="060203"/>
          <w:sz w:val="22"/>
          <w:szCs w:val="22"/>
        </w:rPr>
        <w:t xml:space="preserve">Title:  _____________________________________________  Date:  ______________</w:t>
      </w:r>
    </w:p>
    <w:p>
      <w:pPr>
        <w:spacing w:before="800"/>
        <w:jc w:val="center"/>
      </w:pPr>
      <w:r>
        <w:rPr>
          <w:rFonts w:ascii="Calibri" w:cs="Calibri" w:eastAsia="Calibri" w:hAnsi="Calibri"/>
          <w:b/>
          <w:bCs/>
          <w:color w:val="4A4A4A"/>
          <w:sz w:val="16"/>
          <w:szCs w:val="16"/>
        </w:rPr>
        <w:t xml:space="preserve">BRITECITY · Make IT Easy · britecity.com</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06020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CMMC Compliance Walkthrough</dc:title>
  <dc:creator>BRITECITY</dc:creator>
  <dc:description>CMMC compliance walkthrough for defense contractors</dc:description>
  <cp:lastModifiedBy>Un-named</cp:lastModifiedBy>
  <cp:revision>1</cp:revision>
  <dcterms:created xsi:type="dcterms:W3CDTF">2026-05-09T21:25:29.913Z</dcterms:created>
  <dcterms:modified xsi:type="dcterms:W3CDTF">2026-05-09T21:25:29.915Z</dcterms:modified>
</cp:coreProperties>
</file>

<file path=docProps/custom.xml><?xml version="1.0" encoding="utf-8"?>
<Properties xmlns="http://schemas.openxmlformats.org/officeDocument/2006/custom-properties" xmlns:vt="http://schemas.openxmlformats.org/officeDocument/2006/docPropsVTypes"/>
</file>